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2" w:rsidRPr="00A5777C" w:rsidRDefault="009C02C2" w:rsidP="00A5777C">
      <w:pPr>
        <w:jc w:val="center"/>
        <w:rPr>
          <w:b/>
          <w:sz w:val="24"/>
          <w:szCs w:val="24"/>
        </w:rPr>
      </w:pPr>
      <w:r w:rsidRPr="00A5777C">
        <w:rPr>
          <w:b/>
          <w:sz w:val="24"/>
          <w:szCs w:val="24"/>
        </w:rPr>
        <w:t>Besucherkonzept</w:t>
      </w:r>
    </w:p>
    <w:p w:rsidR="00A5777C" w:rsidRDefault="00A5777C" w:rsidP="00A5777C">
      <w:pPr>
        <w:jc w:val="center"/>
        <w:rPr>
          <w:b/>
        </w:rPr>
      </w:pPr>
    </w:p>
    <w:p w:rsidR="00A5777C" w:rsidRPr="00BB7188" w:rsidRDefault="00A5777C" w:rsidP="00A5777C">
      <w:pPr>
        <w:jc w:val="center"/>
        <w:rPr>
          <w:b/>
        </w:rPr>
      </w:pPr>
      <w:r w:rsidRPr="00BB7188">
        <w:rPr>
          <w:b/>
        </w:rPr>
        <w:t>gemäß § 1</w:t>
      </w:r>
      <w:r w:rsidR="00FB0D40" w:rsidRPr="00BB7188">
        <w:rPr>
          <w:b/>
        </w:rPr>
        <w:t>0</w:t>
      </w:r>
      <w:r w:rsidRPr="00BB7188">
        <w:rPr>
          <w:b/>
        </w:rPr>
        <w:t xml:space="preserve"> der</w:t>
      </w:r>
    </w:p>
    <w:p w:rsidR="00A5777C" w:rsidRPr="00BB7188" w:rsidRDefault="003E302F" w:rsidP="00A5777C">
      <w:pPr>
        <w:jc w:val="center"/>
        <w:rPr>
          <w:b/>
        </w:rPr>
      </w:pPr>
      <w:r w:rsidRPr="00BB7188">
        <w:rPr>
          <w:b/>
        </w:rPr>
        <w:t>2</w:t>
      </w:r>
      <w:r w:rsidR="00FB0D40" w:rsidRPr="00BB7188">
        <w:rPr>
          <w:b/>
        </w:rPr>
        <w:t>3</w:t>
      </w:r>
      <w:r w:rsidR="00A5777C" w:rsidRPr="00BB7188">
        <w:rPr>
          <w:b/>
        </w:rPr>
        <w:t>. Verordnung zum Schutz vor Neuinfektionen</w:t>
      </w:r>
      <w:r w:rsidRPr="00BB7188">
        <w:rPr>
          <w:b/>
        </w:rPr>
        <w:t xml:space="preserve"> mit dem </w:t>
      </w:r>
      <w:proofErr w:type="spellStart"/>
      <w:r w:rsidRPr="00BB7188">
        <w:rPr>
          <w:b/>
        </w:rPr>
        <w:t>Coronavirus</w:t>
      </w:r>
      <w:proofErr w:type="spellEnd"/>
      <w:r w:rsidRPr="00BB7188">
        <w:rPr>
          <w:b/>
        </w:rPr>
        <w:t xml:space="preserve"> SARS-CoV-2 </w:t>
      </w:r>
    </w:p>
    <w:p w:rsidR="009C02C2" w:rsidRPr="00BB7188" w:rsidRDefault="00A5777C" w:rsidP="00A5777C">
      <w:pPr>
        <w:jc w:val="center"/>
        <w:rPr>
          <w:b/>
        </w:rPr>
      </w:pPr>
      <w:r w:rsidRPr="00BB7188">
        <w:rPr>
          <w:b/>
        </w:rPr>
        <w:t>(</w:t>
      </w:r>
      <w:r w:rsidR="00FB0D40" w:rsidRPr="00BB7188">
        <w:rPr>
          <w:b/>
        </w:rPr>
        <w:t>Drei</w:t>
      </w:r>
      <w:r w:rsidR="003E302F" w:rsidRPr="00BB7188">
        <w:rPr>
          <w:b/>
        </w:rPr>
        <w:t>undzwanzigste</w:t>
      </w:r>
      <w:r w:rsidR="00FE0A6D" w:rsidRPr="00BB7188">
        <w:rPr>
          <w:b/>
        </w:rPr>
        <w:t xml:space="preserve"> </w:t>
      </w:r>
      <w:proofErr w:type="spellStart"/>
      <w:r w:rsidRPr="00BB7188">
        <w:rPr>
          <w:b/>
        </w:rPr>
        <w:t>Coronaverordnung</w:t>
      </w:r>
      <w:proofErr w:type="spellEnd"/>
      <w:r w:rsidRPr="00BB7188">
        <w:rPr>
          <w:b/>
        </w:rPr>
        <w:t>)</w:t>
      </w:r>
    </w:p>
    <w:p w:rsidR="003E302F" w:rsidRPr="00BB7188" w:rsidRDefault="003E302F" w:rsidP="003E302F">
      <w:pPr>
        <w:jc w:val="center"/>
        <w:rPr>
          <w:b/>
        </w:rPr>
      </w:pPr>
      <w:proofErr w:type="spellStart"/>
      <w:r w:rsidRPr="00BB7188">
        <w:rPr>
          <w:b/>
        </w:rPr>
        <w:t>i.V.M</w:t>
      </w:r>
      <w:proofErr w:type="spellEnd"/>
      <w:r w:rsidRPr="00BB7188">
        <w:rPr>
          <w:b/>
        </w:rPr>
        <w:t xml:space="preserve">. der </w:t>
      </w:r>
    </w:p>
    <w:p w:rsidR="00992987" w:rsidRDefault="003E302F" w:rsidP="003E302F">
      <w:pPr>
        <w:jc w:val="center"/>
        <w:rPr>
          <w:b/>
        </w:rPr>
      </w:pPr>
      <w:r w:rsidRPr="00BB7188">
        <w:rPr>
          <w:b/>
        </w:rPr>
        <w:t xml:space="preserve">5. Verordnung zur Änderung der 23. </w:t>
      </w:r>
      <w:proofErr w:type="spellStart"/>
      <w:r w:rsidRPr="00BB7188">
        <w:rPr>
          <w:b/>
        </w:rPr>
        <w:t>Coronaverordnung</w:t>
      </w:r>
      <w:proofErr w:type="spellEnd"/>
    </w:p>
    <w:p w:rsidR="003E302F" w:rsidRDefault="003E302F" w:rsidP="00A5777C">
      <w:pPr>
        <w:jc w:val="both"/>
        <w:rPr>
          <w:b/>
        </w:rPr>
      </w:pPr>
    </w:p>
    <w:p w:rsidR="007F09AD" w:rsidRPr="00A5777C" w:rsidRDefault="00FB0D40" w:rsidP="00A5777C">
      <w:pPr>
        <w:pStyle w:val="Listenabsatz"/>
        <w:numPr>
          <w:ilvl w:val="0"/>
          <w:numId w:val="12"/>
        </w:numPr>
        <w:ind w:hanging="720"/>
        <w:jc w:val="both"/>
        <w:rPr>
          <w:b/>
        </w:rPr>
      </w:pPr>
      <w:r>
        <w:rPr>
          <w:b/>
        </w:rPr>
        <w:t>Vorbemerkung</w:t>
      </w:r>
    </w:p>
    <w:p w:rsidR="00F37FCA" w:rsidRDefault="00F37FCA" w:rsidP="00A5777C">
      <w:pPr>
        <w:jc w:val="both"/>
      </w:pPr>
      <w:r>
        <w:t>B</w:t>
      </w:r>
      <w:r w:rsidRPr="00292911">
        <w:t>ei</w:t>
      </w:r>
      <w:r>
        <w:t>m</w:t>
      </w:r>
      <w:r w:rsidRPr="00292911">
        <w:t xml:space="preserve"> Auftreten einer</w:t>
      </w:r>
      <w:r>
        <w:t xml:space="preserve"> Infektion mit dem Corona-Virus (SARS-CoV-</w:t>
      </w:r>
      <w:r w:rsidR="002337B7">
        <w:t>2</w:t>
      </w:r>
      <w:r>
        <w:t>)</w:t>
      </w:r>
      <w:r w:rsidRPr="00292911">
        <w:t xml:space="preserve"> in </w:t>
      </w:r>
      <w:r>
        <w:t>unsere</w:t>
      </w:r>
      <w:r w:rsidR="00405557">
        <w:t>n</w:t>
      </w:r>
      <w:r>
        <w:t xml:space="preserve"> Wohnstätten, unsere</w:t>
      </w:r>
      <w:r w:rsidR="00405557">
        <w:t>n</w:t>
      </w:r>
      <w:r>
        <w:t xml:space="preserve"> Außenwohngruppen oder auch </w:t>
      </w:r>
      <w:r w:rsidR="00405557">
        <w:t xml:space="preserve">in </w:t>
      </w:r>
      <w:r>
        <w:t xml:space="preserve">einer unserer trägergesteuerten Wohngemeinschaften des Betreuten Wohnens </w:t>
      </w:r>
      <w:r w:rsidRPr="00292911">
        <w:t>besteht aufgrund der gemeinsamen räumlichen Unterbringung, der Teilnahme an</w:t>
      </w:r>
      <w:r>
        <w:t xml:space="preserve"> </w:t>
      </w:r>
      <w:r w:rsidRPr="00292911">
        <w:t xml:space="preserve">gemeinsamen Aktivitäten und z.T. </w:t>
      </w:r>
      <w:r w:rsidR="00405557">
        <w:t xml:space="preserve">des </w:t>
      </w:r>
      <w:r w:rsidRPr="00292911">
        <w:t>nahe</w:t>
      </w:r>
      <w:r w:rsidR="00405557">
        <w:t>n</w:t>
      </w:r>
      <w:r w:rsidRPr="00292911">
        <w:t xml:space="preserve"> physischen Kontakt</w:t>
      </w:r>
      <w:r w:rsidR="00405557">
        <w:t>es</w:t>
      </w:r>
      <w:r w:rsidRPr="00292911">
        <w:t xml:space="preserve"> bei pflegerischen</w:t>
      </w:r>
      <w:r>
        <w:t>/versorgenden</w:t>
      </w:r>
      <w:r w:rsidRPr="00292911">
        <w:t xml:space="preserve"> Tätigkeiten </w:t>
      </w:r>
      <w:r>
        <w:t xml:space="preserve">für die dort lebenden Menschen </w:t>
      </w:r>
      <w:r w:rsidRPr="00292911">
        <w:t>ein</w:t>
      </w:r>
      <w:r>
        <w:t xml:space="preserve"> </w:t>
      </w:r>
      <w:r w:rsidRPr="00292911">
        <w:t xml:space="preserve">erhöhtes Risiko für den Erwerb </w:t>
      </w:r>
      <w:r w:rsidR="00405557">
        <w:t xml:space="preserve">und die Weiterverbreitung </w:t>
      </w:r>
      <w:r w:rsidRPr="00292911">
        <w:t xml:space="preserve">einer Infektion. Darüber hinaus gehören </w:t>
      </w:r>
      <w:r>
        <w:t xml:space="preserve">viele </w:t>
      </w:r>
      <w:r w:rsidR="00DF14D1">
        <w:t>Nutzer</w:t>
      </w:r>
      <w:r w:rsidR="00FE0A6D" w:rsidRPr="00654B75">
        <w:rPr>
          <w:rStyle w:val="Funotenzeichen"/>
        </w:rPr>
        <w:footnoteReference w:id="1"/>
      </w:r>
      <w:r w:rsidR="00292911">
        <w:t xml:space="preserve"> insbesondere unserer Wohnstätten und Außenwohnungen </w:t>
      </w:r>
      <w:r w:rsidR="00292911" w:rsidRPr="00292911">
        <w:t>aufgrund ihres Alters und/oder des</w:t>
      </w:r>
      <w:r w:rsidR="00292911">
        <w:t xml:space="preserve"> </w:t>
      </w:r>
      <w:r w:rsidR="00292911" w:rsidRPr="00292911">
        <w:t>Vorliegens von Vorerkrankungen (z.B. Diabetes, Herz-Kreislauf</w:t>
      </w:r>
      <w:r w:rsidR="00292911">
        <w:t>-E</w:t>
      </w:r>
      <w:r w:rsidR="00292911" w:rsidRPr="00292911">
        <w:t>rkrankungen</w:t>
      </w:r>
      <w:r w:rsidR="00292911">
        <w:t>, Nieren- und Lebererkrankungen, Krebs</w:t>
      </w:r>
      <w:r w:rsidR="00292911" w:rsidRPr="00292911">
        <w:t>) zu dem Personenkreis</w:t>
      </w:r>
      <w:r w:rsidR="00292911">
        <w:t xml:space="preserve"> </w:t>
      </w:r>
      <w:r w:rsidR="00292911" w:rsidRPr="00292911">
        <w:t>mit erhöhtem Risiko für einen schweren Krankheitsverlauf</w:t>
      </w:r>
      <w:r w:rsidRPr="00F37FCA">
        <w:t xml:space="preserve"> </w:t>
      </w:r>
      <w:r>
        <w:t xml:space="preserve">bei einer </w:t>
      </w:r>
      <w:r w:rsidRPr="00292911">
        <w:t>COVID-19-Erkrankung</w:t>
      </w:r>
      <w:r w:rsidR="00292911" w:rsidRPr="00292911">
        <w:t>.</w:t>
      </w:r>
    </w:p>
    <w:p w:rsidR="00F37FCA" w:rsidRDefault="00F37FCA" w:rsidP="00A5777C">
      <w:pPr>
        <w:jc w:val="both"/>
      </w:pPr>
    </w:p>
    <w:p w:rsidR="00FB0D40" w:rsidRDefault="00292911" w:rsidP="00A5777C">
      <w:pPr>
        <w:jc w:val="both"/>
      </w:pPr>
      <w:r w:rsidRPr="00292911">
        <w:t xml:space="preserve">Deshalb </w:t>
      </w:r>
      <w:r w:rsidR="00F37FCA">
        <w:t xml:space="preserve">sieht der Gesetzgeber für die in besonderen und trägergesteuerten Wohnformen </w:t>
      </w:r>
      <w:r w:rsidR="00DF14D1">
        <w:t xml:space="preserve">der Eingliederungshilfe </w:t>
      </w:r>
      <w:r w:rsidR="00405557">
        <w:t xml:space="preserve">lebenden Menschen </w:t>
      </w:r>
      <w:r w:rsidR="00F37FCA">
        <w:t xml:space="preserve">die Umsetzung besonderer Schutzkonzepte </w:t>
      </w:r>
      <w:r w:rsidR="00405557">
        <w:t xml:space="preserve">mit Zugangsbeschränkungen und Besuchsregelungen </w:t>
      </w:r>
      <w:r w:rsidR="00F37FCA">
        <w:t>vor</w:t>
      </w:r>
      <w:r w:rsidR="00FB0D40">
        <w:t>, die im Verlauf der Pandemie der</w:t>
      </w:r>
      <w:r w:rsidR="00F37FCA">
        <w:t xml:space="preserve"> </w:t>
      </w:r>
      <w:r w:rsidR="00FB0D40">
        <w:t xml:space="preserve">jeweiligen epidemiologischen Lage angepasst werden. </w:t>
      </w:r>
    </w:p>
    <w:p w:rsidR="00FB0D40" w:rsidRDefault="00FB0D40" w:rsidP="00A5777C">
      <w:pPr>
        <w:jc w:val="both"/>
      </w:pPr>
    </w:p>
    <w:p w:rsidR="00F37FCA" w:rsidRDefault="00FB0D40" w:rsidP="00A5777C">
      <w:pPr>
        <w:jc w:val="both"/>
      </w:pPr>
      <w:r>
        <w:t>Bezogen auf die Besuchsregelungen können von den Einrichtungen</w:t>
      </w:r>
      <w:r w:rsidR="00DF14D1">
        <w:t>,</w:t>
      </w:r>
      <w:r>
        <w:t xml:space="preserve"> neben den in der </w:t>
      </w:r>
      <w:r w:rsidR="00DF14D1">
        <w:t xml:space="preserve">aktuellen </w:t>
      </w:r>
      <w:r>
        <w:t>Verordnung benannten Regelungen</w:t>
      </w:r>
      <w:r w:rsidR="00DF14D1">
        <w:t>,</w:t>
      </w:r>
      <w:r>
        <w:t xml:space="preserve"> weitere Bedingungen vorgesehen </w:t>
      </w:r>
      <w:r w:rsidR="00DF14D1">
        <w:t xml:space="preserve">und begründet </w:t>
      </w:r>
      <w:r>
        <w:t xml:space="preserve">werden, wenn die örtlichen Gegebenheiten </w:t>
      </w:r>
      <w:r w:rsidR="00DF14D1">
        <w:t xml:space="preserve">dies für </w:t>
      </w:r>
      <w:r>
        <w:t xml:space="preserve">einen </w:t>
      </w:r>
      <w:r w:rsidR="00DF14D1">
        <w:t>hinreichenden Infektionsschutz erfordern.</w:t>
      </w:r>
      <w:r>
        <w:t xml:space="preserve"> </w:t>
      </w:r>
    </w:p>
    <w:p w:rsidR="00F37FCA" w:rsidRDefault="00F37FCA" w:rsidP="00A5777C">
      <w:pPr>
        <w:jc w:val="both"/>
      </w:pPr>
    </w:p>
    <w:p w:rsidR="008D1B63" w:rsidRDefault="00FB0D40" w:rsidP="008D1B63">
      <w:pPr>
        <w:jc w:val="both"/>
      </w:pPr>
      <w:r>
        <w:t xml:space="preserve">Besuche in den Wohnstätten, im Außenwohnen und in den trägergesteuerten Wohngemeinschaften des Betreuten Wohnens sind </w:t>
      </w:r>
      <w:r w:rsidR="008D1B63">
        <w:t xml:space="preserve">grundsätzlich </w:t>
      </w:r>
      <w:r>
        <w:t xml:space="preserve">nur möglich, wenn dort </w:t>
      </w:r>
      <w:r w:rsidR="008D1B63">
        <w:t>keine COVID-19-Erkrankung/kein Verdachtsfall vorliegt.</w:t>
      </w:r>
    </w:p>
    <w:p w:rsidR="008D1B63" w:rsidRDefault="008D1B63" w:rsidP="008D1B63">
      <w:pPr>
        <w:jc w:val="both"/>
      </w:pPr>
    </w:p>
    <w:p w:rsidR="008D1B63" w:rsidRDefault="008D1B63" w:rsidP="008D1B63">
      <w:pPr>
        <w:jc w:val="both"/>
      </w:pPr>
    </w:p>
    <w:p w:rsidR="00A5777C" w:rsidRDefault="00A5777C" w:rsidP="00A5777C">
      <w:pPr>
        <w:jc w:val="both"/>
      </w:pPr>
    </w:p>
    <w:p w:rsidR="001E0F93" w:rsidRDefault="00FB777B" w:rsidP="00A5777C">
      <w:pPr>
        <w:pStyle w:val="Listenabsatz"/>
        <w:numPr>
          <w:ilvl w:val="0"/>
          <w:numId w:val="12"/>
        </w:numPr>
        <w:ind w:hanging="720"/>
        <w:jc w:val="both"/>
        <w:rPr>
          <w:b/>
        </w:rPr>
      </w:pPr>
      <w:r w:rsidRPr="00A5777C">
        <w:rPr>
          <w:b/>
        </w:rPr>
        <w:t>Rahmenbedingungen für Besuche</w:t>
      </w:r>
      <w:r w:rsidR="00E4534C" w:rsidRPr="00A5777C">
        <w:rPr>
          <w:b/>
        </w:rPr>
        <w:t>/Besuchsregeln</w:t>
      </w:r>
    </w:p>
    <w:p w:rsidR="00DF14D1" w:rsidRDefault="00DF14D1" w:rsidP="00DF14D1">
      <w:pPr>
        <w:jc w:val="both"/>
      </w:pPr>
      <w:r>
        <w:t>Wenn die Nutzer unserer</w:t>
      </w:r>
      <w:r w:rsidRPr="00292911">
        <w:t xml:space="preserve"> Wohnstätten, </w:t>
      </w:r>
      <w:r>
        <w:t xml:space="preserve">unserer </w:t>
      </w:r>
      <w:r w:rsidRPr="00292911">
        <w:t>Außenwohn</w:t>
      </w:r>
      <w:r>
        <w:t>ungen</w:t>
      </w:r>
      <w:r w:rsidRPr="00292911">
        <w:t xml:space="preserve"> und </w:t>
      </w:r>
      <w:r>
        <w:t xml:space="preserve">unserer </w:t>
      </w:r>
      <w:r w:rsidRPr="00292911">
        <w:t xml:space="preserve">trägergesteuerten Wohngemeinschaften des Betreuten Wohnens </w:t>
      </w:r>
      <w:r>
        <w:t xml:space="preserve">Besuch empfangen möchten, sind dabei die nachstehenden Bedingungen einzuhalten. Die Punkte 2.1 – 2.6 sind die allgemeingültigen Bedingungen der Verordnung, die Punkte sind 2.7 – 2.9 die weiteren Bedingungen, die aufgrund der örtlichen </w:t>
      </w:r>
      <w:r w:rsidR="00A918DB">
        <w:t xml:space="preserve">und personellen </w:t>
      </w:r>
      <w:r>
        <w:t>Gegebenheiten notwendig sind. Die Einhaltung dieser Vorgaben sichert die vor Ort verantwortliche Leistungskraft.</w:t>
      </w:r>
    </w:p>
    <w:p w:rsidR="00410E76" w:rsidRDefault="00410E76" w:rsidP="00A5777C">
      <w:pPr>
        <w:jc w:val="both"/>
      </w:pPr>
    </w:p>
    <w:p w:rsidR="00992987" w:rsidRDefault="00992987" w:rsidP="00A5777C">
      <w:pPr>
        <w:jc w:val="both"/>
      </w:pPr>
    </w:p>
    <w:p w:rsidR="00D956FD" w:rsidRPr="001042D5" w:rsidRDefault="001042D5" w:rsidP="00A5777C">
      <w:pPr>
        <w:jc w:val="both"/>
        <w:rPr>
          <w:b/>
        </w:rPr>
      </w:pPr>
      <w:r w:rsidRPr="001042D5">
        <w:rPr>
          <w:b/>
        </w:rPr>
        <w:t>2.1</w:t>
      </w:r>
      <w:r w:rsidRPr="001042D5">
        <w:rPr>
          <w:b/>
        </w:rPr>
        <w:tab/>
      </w:r>
      <w:proofErr w:type="spellStart"/>
      <w:r w:rsidRPr="001042D5">
        <w:rPr>
          <w:b/>
        </w:rPr>
        <w:t>Symptomfreiheit</w:t>
      </w:r>
      <w:proofErr w:type="spellEnd"/>
    </w:p>
    <w:p w:rsidR="008D1B63" w:rsidRDefault="008D1B63" w:rsidP="008D1B63">
      <w:pPr>
        <w:jc w:val="both"/>
      </w:pPr>
      <w:r>
        <w:t xml:space="preserve">Besuche können nur stattfinden, </w:t>
      </w:r>
      <w:r w:rsidRPr="002F782C">
        <w:t>wenn der Nutzer frei von Krankheitssymptomen ist</w:t>
      </w:r>
      <w:r w:rsidRPr="0053237B">
        <w:t>,</w:t>
      </w:r>
      <w:r>
        <w:t xml:space="preserve"> die mit COVID-19 zu vereinbaren sind, insbesondere Erkältungssymptomen und Fieber.</w:t>
      </w:r>
    </w:p>
    <w:p w:rsidR="008D1B63" w:rsidRDefault="008D1B63" w:rsidP="008D1B63">
      <w:pPr>
        <w:jc w:val="both"/>
        <w:rPr>
          <w:b/>
        </w:rPr>
      </w:pPr>
    </w:p>
    <w:p w:rsidR="008D1B63" w:rsidRPr="002337B7" w:rsidRDefault="008D1B63" w:rsidP="008D1B63">
      <w:pPr>
        <w:jc w:val="both"/>
      </w:pPr>
      <w:r w:rsidRPr="002F782C">
        <w:t xml:space="preserve">Besuchspersonen wird der Zutritt nur gewährt, wenn diese bestätigen, </w:t>
      </w:r>
      <w:proofErr w:type="spellStart"/>
      <w:r w:rsidRPr="002F782C">
        <w:t>symptomfrei</w:t>
      </w:r>
      <w:proofErr w:type="spellEnd"/>
      <w:r w:rsidRPr="002F782C">
        <w:t xml:space="preserve"> zu sein, </w:t>
      </w:r>
      <w:r w:rsidRPr="002337B7">
        <w:t xml:space="preserve">nicht in einem Haushalt mit einer sich in Quarantäne befindlichen Personen zu leben oder in den 14 Tagen vor dem Termin keinen Kontakt zu einem COVID-19-Erkrankten gehabt zu haben und </w:t>
      </w:r>
      <w:r w:rsidR="002337B7" w:rsidRPr="002337B7">
        <w:t xml:space="preserve">sich </w:t>
      </w:r>
      <w:r w:rsidRPr="002337B7">
        <w:t>in den 14 Tagen vor dem Besuch nicht i</w:t>
      </w:r>
      <w:r w:rsidR="002337B7" w:rsidRPr="002337B7">
        <w:t>n eine</w:t>
      </w:r>
      <w:r w:rsidRPr="002337B7">
        <w:t xml:space="preserve">m </w:t>
      </w:r>
      <w:r w:rsidR="002337B7" w:rsidRPr="002337B7">
        <w:t>Risikogebiet aufgehalten zu haben</w:t>
      </w:r>
      <w:r w:rsidRPr="002337B7">
        <w:t>.</w:t>
      </w:r>
    </w:p>
    <w:p w:rsidR="00410E76" w:rsidRPr="002337B7" w:rsidRDefault="00410E76" w:rsidP="00A5777C">
      <w:pPr>
        <w:jc w:val="both"/>
      </w:pPr>
    </w:p>
    <w:p w:rsidR="00992987" w:rsidRDefault="00992987" w:rsidP="00A5777C">
      <w:pPr>
        <w:jc w:val="both"/>
      </w:pPr>
    </w:p>
    <w:p w:rsidR="008D1B63" w:rsidRPr="001042D5" w:rsidRDefault="001042D5" w:rsidP="00A5777C">
      <w:pPr>
        <w:jc w:val="both"/>
        <w:rPr>
          <w:b/>
        </w:rPr>
      </w:pPr>
      <w:r w:rsidRPr="001042D5">
        <w:rPr>
          <w:b/>
        </w:rPr>
        <w:t>2.2</w:t>
      </w:r>
      <w:r w:rsidRPr="001042D5">
        <w:rPr>
          <w:b/>
        </w:rPr>
        <w:tab/>
        <w:t>Registrierung der Kontaktdaten</w:t>
      </w:r>
    </w:p>
    <w:p w:rsidR="002F782C" w:rsidRDefault="002F782C" w:rsidP="00273ED7">
      <w:pPr>
        <w:jc w:val="both"/>
      </w:pPr>
      <w:r w:rsidRPr="00273ED7">
        <w:lastRenderedPageBreak/>
        <w:t xml:space="preserve">Zum Zweck der ggfls. notwendigen Nachverfolgung von Infektionsketten im Zusammenhang mit </w:t>
      </w:r>
      <w:r w:rsidR="00B5729B" w:rsidRPr="00273ED7">
        <w:t xml:space="preserve">einer </w:t>
      </w:r>
      <w:r w:rsidR="00B5729B" w:rsidRPr="002F782C">
        <w:t>COVID-19-Erkrank</w:t>
      </w:r>
      <w:r w:rsidR="00B5729B">
        <w:t>ung sind Kontaktdaten (Name und Telefonnummer oder E-Mail-Adresse) der Besuchspersonen sowie der Zeitpunkt des Betretens und Verlassens der Einrichtung/des Geländes zu erheben</w:t>
      </w:r>
      <w:r w:rsidRPr="00273ED7">
        <w:t xml:space="preserve">. </w:t>
      </w:r>
      <w:r w:rsidR="00B5729B" w:rsidRPr="00273ED7">
        <w:t>Dies erfolgt in einer Besucherliste. Ohne die Hergabe der Kontaktdaten kann kein Zutritt gewährt werden.</w:t>
      </w:r>
    </w:p>
    <w:p w:rsidR="00273ED7" w:rsidRPr="00273ED7" w:rsidRDefault="00273ED7" w:rsidP="00273ED7">
      <w:pPr>
        <w:jc w:val="both"/>
      </w:pPr>
    </w:p>
    <w:p w:rsidR="00B5729B" w:rsidRDefault="00B5729B" w:rsidP="00273ED7">
      <w:pPr>
        <w:jc w:val="both"/>
      </w:pPr>
      <w:r w:rsidRPr="00273ED7">
        <w:t xml:space="preserve">Sofern </w:t>
      </w:r>
      <w:r w:rsidR="00273ED7" w:rsidRPr="00273ED7">
        <w:t xml:space="preserve">eine Nachverfolgung von Infektionsketten </w:t>
      </w:r>
      <w:r w:rsidRPr="00273ED7">
        <w:t xml:space="preserve">notwendig </w:t>
      </w:r>
      <w:r w:rsidR="00273ED7" w:rsidRPr="00273ED7">
        <w:t>wird</w:t>
      </w:r>
      <w:r w:rsidRPr="00273ED7">
        <w:t xml:space="preserve">, werden diese Daten </w:t>
      </w:r>
      <w:r w:rsidR="00273ED7" w:rsidRPr="00273ED7">
        <w:t xml:space="preserve">auf Anfrage </w:t>
      </w:r>
      <w:r w:rsidRPr="00273ED7">
        <w:t>an das zuständige Gesundheitsamt weitergegeben.</w:t>
      </w:r>
    </w:p>
    <w:p w:rsidR="00992987" w:rsidRDefault="00992987" w:rsidP="00273ED7">
      <w:pPr>
        <w:jc w:val="both"/>
      </w:pPr>
    </w:p>
    <w:p w:rsidR="00273ED7" w:rsidRPr="00273ED7" w:rsidRDefault="00273ED7" w:rsidP="00273ED7">
      <w:pPr>
        <w:jc w:val="both"/>
      </w:pPr>
      <w:r w:rsidRPr="00273ED7">
        <w:t xml:space="preserve">Für die erhobenen personenbezogenen Daten gilt eine Aufbewahrungspflicht von </w:t>
      </w:r>
      <w:r w:rsidR="006B6FFA">
        <w:t>drei</w:t>
      </w:r>
      <w:r w:rsidRPr="00273ED7">
        <w:t xml:space="preserve"> vollen Kalenderwochen nach diesen </w:t>
      </w:r>
      <w:r w:rsidR="006B6FFA">
        <w:t>drei</w:t>
      </w:r>
      <w:r w:rsidRPr="00273ED7">
        <w:t xml:space="preserve"> vollen Kalenderwochen werden die Daten gelöscht.</w:t>
      </w:r>
    </w:p>
    <w:p w:rsidR="00273ED7" w:rsidRDefault="00273ED7" w:rsidP="00A5777C">
      <w:pPr>
        <w:jc w:val="both"/>
      </w:pPr>
    </w:p>
    <w:p w:rsidR="00992987" w:rsidRDefault="00992987" w:rsidP="00A5777C">
      <w:pPr>
        <w:jc w:val="both"/>
      </w:pPr>
    </w:p>
    <w:p w:rsidR="001042D5" w:rsidRPr="00410E76" w:rsidRDefault="001042D5" w:rsidP="00410E76">
      <w:pPr>
        <w:jc w:val="both"/>
        <w:rPr>
          <w:b/>
        </w:rPr>
      </w:pPr>
      <w:r>
        <w:rPr>
          <w:b/>
        </w:rPr>
        <w:t>2.3</w:t>
      </w:r>
      <w:r>
        <w:rPr>
          <w:b/>
        </w:rPr>
        <w:tab/>
      </w:r>
      <w:r w:rsidRPr="001042D5">
        <w:rPr>
          <w:b/>
        </w:rPr>
        <w:t>Einweisung in Hygiene</w:t>
      </w:r>
      <w:r w:rsidR="00075C47">
        <w:rPr>
          <w:b/>
        </w:rPr>
        <w:t>- und Schutz</w:t>
      </w:r>
      <w:r w:rsidRPr="001042D5">
        <w:rPr>
          <w:b/>
        </w:rPr>
        <w:t>maßnahmen</w:t>
      </w:r>
    </w:p>
    <w:p w:rsidR="00273ED7" w:rsidRPr="00405557" w:rsidRDefault="00273ED7" w:rsidP="00273ED7">
      <w:pPr>
        <w:jc w:val="both"/>
      </w:pPr>
      <w:r>
        <w:t xml:space="preserve">Verantwortlich für einen ordnungsgemäßen Ablauf von Besuchen ist die jeweils </w:t>
      </w:r>
      <w:r w:rsidRPr="00273ED7">
        <w:t xml:space="preserve">diensthabende Fachkraft. </w:t>
      </w:r>
    </w:p>
    <w:p w:rsidR="00273ED7" w:rsidRPr="00D4649E" w:rsidRDefault="00273ED7" w:rsidP="00273ED7">
      <w:pPr>
        <w:jc w:val="both"/>
      </w:pPr>
      <w:r>
        <w:t xml:space="preserve">Der verantwortliche Mitarbeiter empfängt den/die Besucher an der Tür weist jede Besuchsperson bei </w:t>
      </w:r>
      <w:r w:rsidRPr="00C003EE">
        <w:rPr>
          <w:u w:val="single"/>
        </w:rPr>
        <w:t>jedem</w:t>
      </w:r>
      <w:r>
        <w:t xml:space="preserve"> Besuch in die einzuhaltenden Hygiene- und Verhaltensregeln ein, </w:t>
      </w:r>
      <w:r w:rsidR="00A67E65">
        <w:t xml:space="preserve">dokumentiert die Unterweisung und </w:t>
      </w:r>
      <w:r>
        <w:t xml:space="preserve">erhebt die Kontaktdaten sowie die </w:t>
      </w:r>
      <w:proofErr w:type="spellStart"/>
      <w:r>
        <w:t>Symptomfreiheit</w:t>
      </w:r>
      <w:proofErr w:type="spellEnd"/>
      <w:r>
        <w:t xml:space="preserve"> </w:t>
      </w:r>
      <w:r w:rsidR="00075C47">
        <w:t>der Besuchsperson/en.</w:t>
      </w:r>
    </w:p>
    <w:p w:rsidR="00A67E65" w:rsidRDefault="00A67E65" w:rsidP="00273ED7">
      <w:pPr>
        <w:jc w:val="both"/>
      </w:pPr>
    </w:p>
    <w:p w:rsidR="00273ED7" w:rsidRPr="00C003EE" w:rsidRDefault="00273ED7" w:rsidP="00273ED7">
      <w:pPr>
        <w:jc w:val="both"/>
      </w:pPr>
      <w:r>
        <w:t xml:space="preserve">Unmittelbar vor dem Besuchstermin wird der </w:t>
      </w:r>
      <w:r w:rsidR="00075C47" w:rsidRPr="00075C47">
        <w:t>R</w:t>
      </w:r>
      <w:r w:rsidRPr="00075C47">
        <w:t>aum</w:t>
      </w:r>
      <w:r w:rsidR="00075C47" w:rsidRPr="00075C47">
        <w:t>, in dem der Besuch stattfindet</w:t>
      </w:r>
      <w:r w:rsidR="00075C47">
        <w:t>,</w:t>
      </w:r>
      <w:r>
        <w:t xml:space="preserve"> von dem verantwortlichen Mitarbeiter für den Besuch hergerichtet. Vor jedem Besuch </w:t>
      </w:r>
      <w:r w:rsidR="00075C47">
        <w:t>wird</w:t>
      </w:r>
      <w:r>
        <w:t xml:space="preserve"> eine Stoßlüftung des Raumes vor</w:t>
      </w:r>
      <w:r w:rsidR="00075C47">
        <w:t xml:space="preserve">genommen </w:t>
      </w:r>
      <w:r>
        <w:t xml:space="preserve">und die Kontaktflächen (z.B. Türklinke, Lichtschalter, Stuhllehnen/Armlehnen, Tischflächen, </w:t>
      </w:r>
      <w:proofErr w:type="spellStart"/>
      <w:r>
        <w:t>Plexiglasbarriere</w:t>
      </w:r>
      <w:proofErr w:type="spellEnd"/>
      <w:r>
        <w:t xml:space="preserve">) </w:t>
      </w:r>
      <w:r w:rsidR="00075C47">
        <w:t>werden ge</w:t>
      </w:r>
      <w:r>
        <w:t>reinig</w:t>
      </w:r>
      <w:r w:rsidR="00075C47">
        <w:t>t</w:t>
      </w:r>
      <w:r>
        <w:t>/desinfizier</w:t>
      </w:r>
      <w:r w:rsidR="00075C47">
        <w:t>t</w:t>
      </w:r>
      <w:r>
        <w:t xml:space="preserve">. </w:t>
      </w:r>
    </w:p>
    <w:p w:rsidR="00273ED7" w:rsidRDefault="00273ED7" w:rsidP="00273ED7">
      <w:pPr>
        <w:jc w:val="both"/>
      </w:pPr>
    </w:p>
    <w:p w:rsidR="00075C47" w:rsidRDefault="00075C47" w:rsidP="00075C47">
      <w:pPr>
        <w:jc w:val="both"/>
      </w:pPr>
      <w:r>
        <w:t xml:space="preserve">Jeder Besucher muss sich bei Betreten und Verlassen der Einrichtung die </w:t>
      </w:r>
      <w:r w:rsidRPr="00273ED7">
        <w:t xml:space="preserve">Hände desinfizieren. </w:t>
      </w:r>
    </w:p>
    <w:p w:rsidR="006B6FFA" w:rsidRPr="002337B7" w:rsidRDefault="006B6FFA" w:rsidP="006B6FFA">
      <w:pPr>
        <w:jc w:val="both"/>
      </w:pPr>
    </w:p>
    <w:p w:rsidR="006B6FFA" w:rsidRPr="002337B7" w:rsidRDefault="006B6FFA" w:rsidP="006B6FFA">
      <w:pPr>
        <w:jc w:val="both"/>
      </w:pPr>
      <w:r w:rsidRPr="002337B7">
        <w:t xml:space="preserve">Ein Toilettengang während des Besuches für die Besucher ist </w:t>
      </w:r>
      <w:r w:rsidRPr="002337B7">
        <w:rPr>
          <w:u w:val="single"/>
        </w:rPr>
        <w:t>nicht</w:t>
      </w:r>
      <w:r w:rsidRPr="002337B7">
        <w:t xml:space="preserve"> möglich.</w:t>
      </w:r>
    </w:p>
    <w:p w:rsidR="00273ED7" w:rsidRPr="002337B7" w:rsidRDefault="00273ED7" w:rsidP="00273ED7">
      <w:pPr>
        <w:jc w:val="both"/>
      </w:pPr>
    </w:p>
    <w:p w:rsidR="00A67E65" w:rsidRPr="002337B7" w:rsidRDefault="00A67E65" w:rsidP="00A67E65">
      <w:pPr>
        <w:jc w:val="both"/>
      </w:pPr>
      <w:r w:rsidRPr="002337B7">
        <w:rPr>
          <w:rFonts w:cs="Arial"/>
        </w:rPr>
        <w:t xml:space="preserve">Der Verzehr von Speisen und Getränken ist während des Besuchs nur gestattet, </w:t>
      </w:r>
      <w:r w:rsidR="006B6FFA" w:rsidRPr="002337B7">
        <w:rPr>
          <w:rFonts w:cs="Arial"/>
        </w:rPr>
        <w:t xml:space="preserve">wenn der Besuch auf dem Außengelände stattfindet, da hierfür die </w:t>
      </w:r>
      <w:r w:rsidRPr="0080532F">
        <w:rPr>
          <w:rFonts w:cs="Arial"/>
        </w:rPr>
        <w:t xml:space="preserve">Mund-Nasen-Bedeckung </w:t>
      </w:r>
      <w:r w:rsidR="006B6FFA" w:rsidRPr="002337B7">
        <w:rPr>
          <w:rFonts w:cs="Arial"/>
        </w:rPr>
        <w:t>abgenommen werden muss</w:t>
      </w:r>
      <w:r w:rsidRPr="002337B7">
        <w:rPr>
          <w:rFonts w:cs="Arial"/>
        </w:rPr>
        <w:t>.</w:t>
      </w:r>
    </w:p>
    <w:p w:rsidR="00273ED7" w:rsidRPr="00A67E65" w:rsidRDefault="00273ED7" w:rsidP="00273ED7">
      <w:pPr>
        <w:jc w:val="both"/>
      </w:pPr>
    </w:p>
    <w:p w:rsidR="00273ED7" w:rsidRPr="00A67E65" w:rsidRDefault="00273ED7" w:rsidP="00273ED7">
      <w:pPr>
        <w:jc w:val="both"/>
        <w:rPr>
          <w:i/>
        </w:rPr>
      </w:pPr>
      <w:r w:rsidRPr="00A67E65">
        <w:t>Der verantwortliche Mitarbeiter dokumentiert abschließend Zeiten und Dauer des Besuches.</w:t>
      </w:r>
    </w:p>
    <w:p w:rsidR="00273ED7" w:rsidRPr="00A67E65" w:rsidRDefault="00273ED7" w:rsidP="00273ED7">
      <w:pPr>
        <w:jc w:val="both"/>
        <w:rPr>
          <w:i/>
        </w:rPr>
      </w:pPr>
    </w:p>
    <w:p w:rsidR="00273ED7" w:rsidRPr="00D4649E" w:rsidRDefault="00273ED7" w:rsidP="00273ED7">
      <w:pPr>
        <w:jc w:val="both"/>
        <w:rPr>
          <w:i/>
        </w:rPr>
      </w:pPr>
      <w:r w:rsidRPr="00D4649E">
        <w:t xml:space="preserve">Die behördlich geforderte Dokumentation zu den Besuchen erfolgt pro Besuch auf dem </w:t>
      </w:r>
      <w:r w:rsidRPr="00A67E65">
        <w:rPr>
          <w:i/>
        </w:rPr>
        <w:t>Formblatt „Besuchsregelung - Aufklärung und Dokumentation“</w:t>
      </w:r>
      <w:r w:rsidRPr="00D4649E">
        <w:t xml:space="preserve"> </w:t>
      </w:r>
      <w:r w:rsidRPr="002337B7">
        <w:t xml:space="preserve">(s. </w:t>
      </w:r>
      <w:r w:rsidRPr="002337B7">
        <w:rPr>
          <w:u w:val="single"/>
        </w:rPr>
        <w:t>Anlage 6c</w:t>
      </w:r>
      <w:r w:rsidRPr="002337B7">
        <w:t>).</w:t>
      </w:r>
      <w:r w:rsidRPr="00D4649E">
        <w:t xml:space="preserve"> </w:t>
      </w:r>
    </w:p>
    <w:p w:rsidR="00273ED7" w:rsidRPr="0094550E" w:rsidRDefault="00273ED7" w:rsidP="00273ED7">
      <w:pPr>
        <w:jc w:val="both"/>
      </w:pPr>
      <w:r w:rsidRPr="0094550E">
        <w:t>Das Original verbleibt bei der verantwortlichen Leitungskraft im jeweiligen Bereich. Eine Kopie geht (per Fax oder Scan) direkt nach dem Besuch zur Fachbereichsleitung.</w:t>
      </w:r>
    </w:p>
    <w:p w:rsidR="00273ED7" w:rsidRPr="0094550E" w:rsidRDefault="00273ED7" w:rsidP="00273ED7">
      <w:pPr>
        <w:jc w:val="both"/>
      </w:pPr>
    </w:p>
    <w:p w:rsidR="00273ED7" w:rsidRPr="0094550E" w:rsidRDefault="00273ED7" w:rsidP="00273ED7">
      <w:pPr>
        <w:jc w:val="both"/>
      </w:pPr>
      <w:r w:rsidRPr="0094550E">
        <w:t>Die erhobenen Daten werden im Infektionsfall im Rahmen der</w:t>
      </w:r>
      <w:r w:rsidR="00A67E65">
        <w:t xml:space="preserve"> Kontaktpersonennachverfolgung</w:t>
      </w:r>
      <w:r w:rsidRPr="0094550E">
        <w:t xml:space="preserve"> an das Gesundheitsamt Bremerhaven weitergegeben.</w:t>
      </w:r>
      <w:r w:rsidR="00A67E65">
        <w:t xml:space="preserve"> </w:t>
      </w:r>
      <w:r w:rsidRPr="0094550E">
        <w:t>Die erhobenen Daten der Besucher werden drei volle Kalenderwochen nach dem Besuch gelöscht. Original und Kopie des Formulars werden vernichtet.</w:t>
      </w:r>
    </w:p>
    <w:p w:rsidR="001042D5" w:rsidRDefault="001042D5" w:rsidP="001042D5">
      <w:pPr>
        <w:jc w:val="both"/>
      </w:pPr>
    </w:p>
    <w:p w:rsidR="00992987" w:rsidRDefault="00992987" w:rsidP="001042D5">
      <w:pPr>
        <w:jc w:val="both"/>
      </w:pPr>
    </w:p>
    <w:p w:rsidR="001042D5" w:rsidRPr="001042D5" w:rsidRDefault="001042D5" w:rsidP="001042D5">
      <w:pPr>
        <w:jc w:val="both"/>
        <w:rPr>
          <w:b/>
        </w:rPr>
      </w:pPr>
      <w:r>
        <w:rPr>
          <w:b/>
        </w:rPr>
        <w:t>2.4</w:t>
      </w:r>
      <w:r>
        <w:rPr>
          <w:b/>
        </w:rPr>
        <w:tab/>
        <w:t xml:space="preserve">Mund-Nasen-Bedeckung </w:t>
      </w:r>
    </w:p>
    <w:p w:rsidR="006B6FFA" w:rsidRPr="00BB7188" w:rsidRDefault="00410E76" w:rsidP="00410E76">
      <w:pPr>
        <w:jc w:val="both"/>
      </w:pPr>
      <w:r>
        <w:t xml:space="preserve">Dem Besucher wird der Zutritt nur gewährt, wenn er eine </w:t>
      </w:r>
      <w:r w:rsidR="003E302F" w:rsidRPr="00BB7188">
        <w:rPr>
          <w:b/>
        </w:rPr>
        <w:t>medizinische Maske</w:t>
      </w:r>
      <w:r w:rsidR="003E302F" w:rsidRPr="00BB7188">
        <w:t xml:space="preserve"> </w:t>
      </w:r>
      <w:r w:rsidR="003E302F" w:rsidRPr="00BB7188">
        <w:rPr>
          <w:b/>
        </w:rPr>
        <w:t>(OP-Maske oder Maske des Standards „FFP 2“ oder „KN95/N95“)</w:t>
      </w:r>
      <w:r w:rsidRPr="00BB7188">
        <w:t xml:space="preserve"> trägt. </w:t>
      </w:r>
      <w:r w:rsidR="006B6FFA" w:rsidRPr="00BB7188">
        <w:t>Die</w:t>
      </w:r>
      <w:r w:rsidRPr="00BB7188">
        <w:t xml:space="preserve"> </w:t>
      </w:r>
      <w:r w:rsidR="008916EC" w:rsidRPr="00BB7188">
        <w:t>medizinische Maske</w:t>
      </w:r>
      <w:r w:rsidRPr="00BB7188">
        <w:t xml:space="preserve"> ist während des gesamten Aufenthaltes in der Einrichtung</w:t>
      </w:r>
      <w:r w:rsidR="006B6FFA" w:rsidRPr="00BB7188">
        <w:t xml:space="preserve"> </w:t>
      </w:r>
      <w:r w:rsidRPr="00BB7188">
        <w:t>zu tragen.</w:t>
      </w:r>
      <w:r w:rsidR="006B6FFA" w:rsidRPr="00BB7188">
        <w:t xml:space="preserve"> </w:t>
      </w:r>
    </w:p>
    <w:p w:rsidR="001042D5" w:rsidRPr="00BB7188" w:rsidRDefault="001042D5" w:rsidP="001042D5">
      <w:pPr>
        <w:jc w:val="both"/>
      </w:pPr>
    </w:p>
    <w:p w:rsidR="00410E76" w:rsidRDefault="00410E76" w:rsidP="00410E76">
      <w:pPr>
        <w:jc w:val="both"/>
      </w:pPr>
      <w:r w:rsidRPr="00BB7188">
        <w:t xml:space="preserve">Der Nutzer trägt während des Besuchs </w:t>
      </w:r>
      <w:r w:rsidR="0080532F" w:rsidRPr="00BB7188">
        <w:t xml:space="preserve">ebenfalls </w:t>
      </w:r>
      <w:r w:rsidRPr="00BB7188">
        <w:t>eine</w:t>
      </w:r>
      <w:r w:rsidR="0080532F" w:rsidRPr="00BB7188">
        <w:t xml:space="preserve"> medizinische Maske (mind. OP-Maske)</w:t>
      </w:r>
      <w:r w:rsidRPr="00BB7188">
        <w:t>,</w:t>
      </w:r>
      <w:r>
        <w:t xml:space="preserve"> soweit keine gesundheitlichen Gründe entgegen stehen. </w:t>
      </w:r>
    </w:p>
    <w:p w:rsidR="001042D5" w:rsidRDefault="001042D5" w:rsidP="001042D5">
      <w:pPr>
        <w:jc w:val="both"/>
      </w:pPr>
    </w:p>
    <w:p w:rsidR="006B6FFA" w:rsidRPr="002337B7" w:rsidRDefault="006B6FFA" w:rsidP="006B6FFA">
      <w:pPr>
        <w:jc w:val="both"/>
      </w:pPr>
      <w:r w:rsidRPr="002337B7">
        <w:t xml:space="preserve">Besuchspersonen, die selber zur Risikogruppe gehören, </w:t>
      </w:r>
      <w:proofErr w:type="gramStart"/>
      <w:r w:rsidRPr="002337B7">
        <w:t>wird</w:t>
      </w:r>
      <w:proofErr w:type="gramEnd"/>
      <w:r w:rsidRPr="002337B7">
        <w:t xml:space="preserve"> von Besuchen abgeraten. In jedem Fall müssen sie selber für eigene, ggfls. weitergehende Schutzmaßnahmen sorgen.</w:t>
      </w:r>
    </w:p>
    <w:p w:rsidR="006B6FFA" w:rsidRDefault="006B6FFA" w:rsidP="001042D5">
      <w:pPr>
        <w:jc w:val="both"/>
      </w:pPr>
    </w:p>
    <w:p w:rsidR="00992987" w:rsidRDefault="00992987" w:rsidP="001042D5">
      <w:pPr>
        <w:jc w:val="both"/>
      </w:pPr>
    </w:p>
    <w:p w:rsidR="001042D5" w:rsidRPr="001042D5" w:rsidRDefault="00A67E65" w:rsidP="001042D5">
      <w:pPr>
        <w:jc w:val="both"/>
        <w:rPr>
          <w:b/>
        </w:rPr>
      </w:pPr>
      <w:r>
        <w:rPr>
          <w:b/>
        </w:rPr>
        <w:t>2.5</w:t>
      </w:r>
      <w:r>
        <w:rPr>
          <w:b/>
        </w:rPr>
        <w:tab/>
        <w:t>Abstandsgebot</w:t>
      </w:r>
    </w:p>
    <w:p w:rsidR="00A67E65" w:rsidRDefault="00075C47" w:rsidP="00A67E65">
      <w:pPr>
        <w:jc w:val="both"/>
      </w:pPr>
      <w:r w:rsidRPr="00947398">
        <w:rPr>
          <w:rFonts w:cs="Arial"/>
        </w:rPr>
        <w:t xml:space="preserve">Das </w:t>
      </w:r>
      <w:r w:rsidRPr="002F25FA">
        <w:rPr>
          <w:rFonts w:cs="Arial"/>
        </w:rPr>
        <w:t xml:space="preserve">Abstandsgebot (&gt; 1,5 m) </w:t>
      </w:r>
      <w:r w:rsidRPr="00947398">
        <w:rPr>
          <w:rFonts w:cs="Arial"/>
        </w:rPr>
        <w:t xml:space="preserve">ist </w:t>
      </w:r>
      <w:r>
        <w:t xml:space="preserve">während des gesamten Besuches </w:t>
      </w:r>
      <w:r w:rsidR="00A67E65">
        <w:t xml:space="preserve">sowohl zur besuchten Person als auch zu anderen Personen in der Einrichtung bzw. auf dem Gelände </w:t>
      </w:r>
      <w:r w:rsidRPr="00947398">
        <w:rPr>
          <w:rFonts w:cs="Arial"/>
        </w:rPr>
        <w:t>einzuhalten,</w:t>
      </w:r>
      <w:r w:rsidR="002F25FA">
        <w:rPr>
          <w:rFonts w:cs="Arial"/>
        </w:rPr>
        <w:t xml:space="preserve"> dies auch</w:t>
      </w:r>
      <w:r w:rsidRPr="00947398">
        <w:rPr>
          <w:rFonts w:cs="Arial"/>
        </w:rPr>
        <w:t xml:space="preserve"> bei Begrüßung und Verabschiedung.</w:t>
      </w:r>
      <w:r w:rsidRPr="00075C47">
        <w:t xml:space="preserve"> </w:t>
      </w:r>
      <w:r w:rsidR="00A67E65">
        <w:t>D.h. die Begrüßung hat berührungslos zu erfolgen.</w:t>
      </w:r>
    </w:p>
    <w:p w:rsidR="00A67E65" w:rsidRDefault="00A67E65" w:rsidP="00075C47">
      <w:pPr>
        <w:jc w:val="both"/>
      </w:pPr>
    </w:p>
    <w:p w:rsidR="00647ECE" w:rsidRPr="002F25FA" w:rsidRDefault="00A67E65" w:rsidP="00075C47">
      <w:pPr>
        <w:jc w:val="both"/>
      </w:pPr>
      <w:r w:rsidRPr="002F25FA">
        <w:lastRenderedPageBreak/>
        <w:t xml:space="preserve">Das Abstandsgebot gilt nicht </w:t>
      </w:r>
      <w:r w:rsidR="00647ECE" w:rsidRPr="002F25FA">
        <w:t>für Eltern, Großeltern, Geschwister und Kinder</w:t>
      </w:r>
      <w:r w:rsidR="002F25FA">
        <w:t xml:space="preserve"> sowie den (Ehe-)Partner des Besuchten, sofern </w:t>
      </w:r>
      <w:r w:rsidR="00647ECE" w:rsidRPr="002F25FA">
        <w:t xml:space="preserve">eine </w:t>
      </w:r>
      <w:r w:rsidR="0080532F" w:rsidRPr="00BB7188">
        <w:t>medizinische Maske</w:t>
      </w:r>
      <w:r w:rsidR="002F25FA" w:rsidRPr="002F25FA">
        <w:t xml:space="preserve"> getragen wird und vo</w:t>
      </w:r>
      <w:r w:rsidR="00FD42E2">
        <w:t>r und nach der Kontaktaufnahme e</w:t>
      </w:r>
      <w:r w:rsidR="002F25FA" w:rsidRPr="002F25FA">
        <w:t>ine</w:t>
      </w:r>
      <w:r w:rsidR="00647ECE" w:rsidRPr="002F25FA">
        <w:t xml:space="preserve"> gründli</w:t>
      </w:r>
      <w:r w:rsidR="002F25FA" w:rsidRPr="002F25FA">
        <w:t>c</w:t>
      </w:r>
      <w:r w:rsidR="00647ECE" w:rsidRPr="002F25FA">
        <w:t>he Händedesinfektion</w:t>
      </w:r>
      <w:r w:rsidR="002F25FA" w:rsidRPr="002F25FA">
        <w:t xml:space="preserve"> durchgeführt wird</w:t>
      </w:r>
      <w:r w:rsidR="00647ECE" w:rsidRPr="002F25FA">
        <w:t>.</w:t>
      </w:r>
    </w:p>
    <w:p w:rsidR="001042D5" w:rsidRDefault="001042D5" w:rsidP="001042D5">
      <w:pPr>
        <w:jc w:val="both"/>
      </w:pPr>
    </w:p>
    <w:p w:rsidR="00992987" w:rsidRDefault="00992987" w:rsidP="001042D5">
      <w:pPr>
        <w:jc w:val="both"/>
      </w:pPr>
    </w:p>
    <w:p w:rsidR="001042D5" w:rsidRPr="001042D5" w:rsidRDefault="001042D5" w:rsidP="001042D5">
      <w:pPr>
        <w:jc w:val="both"/>
        <w:rPr>
          <w:b/>
        </w:rPr>
      </w:pPr>
      <w:r>
        <w:rPr>
          <w:b/>
        </w:rPr>
        <w:t>2.6</w:t>
      </w:r>
      <w:r>
        <w:rPr>
          <w:b/>
        </w:rPr>
        <w:tab/>
        <w:t>Begleitung durch das Personal</w:t>
      </w:r>
    </w:p>
    <w:p w:rsidR="00410E76" w:rsidRDefault="00410E76" w:rsidP="00410E76">
      <w:pPr>
        <w:jc w:val="both"/>
      </w:pPr>
      <w:r>
        <w:t xml:space="preserve">Die </w:t>
      </w:r>
      <w:r w:rsidRPr="002F782C">
        <w:t>Kontaktaufnahme zum Nutzer</w:t>
      </w:r>
      <w:r>
        <w:t xml:space="preserve"> - bis zum Einnehmen der Plätze - erfolgt in Begleitung des verantwortlichen Mitarbeiters. </w:t>
      </w:r>
    </w:p>
    <w:p w:rsidR="002F782C" w:rsidRDefault="002F782C" w:rsidP="00410E76">
      <w:pPr>
        <w:jc w:val="both"/>
      </w:pPr>
    </w:p>
    <w:p w:rsidR="00410E76" w:rsidRDefault="00410E76" w:rsidP="00410E76">
      <w:pPr>
        <w:jc w:val="both"/>
      </w:pPr>
      <w:r>
        <w:t>Während des Besuches zieht sich der Mitarbeiter zurück</w:t>
      </w:r>
      <w:r w:rsidRPr="00940C4F">
        <w:t>. Ist der Nutzer behinderungsbedingt nicht in der Lage, die Abstandsregel einzuhalten</w:t>
      </w:r>
      <w:r>
        <w:t xml:space="preserve"> oder hat anderweitige besondere Unterstützungsbedarfe (z.B. akute </w:t>
      </w:r>
      <w:proofErr w:type="spellStart"/>
      <w:r>
        <w:t>Anfallsneigung</w:t>
      </w:r>
      <w:proofErr w:type="spellEnd"/>
      <w:r w:rsidR="002F782C">
        <w:t>)</w:t>
      </w:r>
      <w:r w:rsidRPr="00940C4F">
        <w:t xml:space="preserve">, unterstützt der Mitarbeiter </w:t>
      </w:r>
      <w:proofErr w:type="gramStart"/>
      <w:r w:rsidRPr="00940C4F">
        <w:t>die</w:t>
      </w:r>
      <w:proofErr w:type="gramEnd"/>
      <w:r w:rsidRPr="00940C4F">
        <w:t xml:space="preserve"> Besuchssituation entsprechend und ist hierfür </w:t>
      </w:r>
      <w:r>
        <w:t>bei Bedarf</w:t>
      </w:r>
      <w:r w:rsidRPr="00940C4F">
        <w:t xml:space="preserve"> auch durchgehend anwesend.</w:t>
      </w:r>
    </w:p>
    <w:p w:rsidR="001042D5" w:rsidRDefault="001042D5" w:rsidP="001042D5">
      <w:pPr>
        <w:jc w:val="both"/>
      </w:pPr>
    </w:p>
    <w:p w:rsidR="00410E76" w:rsidRPr="00D4649E" w:rsidRDefault="00410E76" w:rsidP="00410E76">
      <w:pPr>
        <w:jc w:val="both"/>
        <w:rPr>
          <w:i/>
        </w:rPr>
      </w:pPr>
      <w:r>
        <w:t xml:space="preserve">Der verantwortliche Mitarbeiter beendet den Besuch zur vereinbarten Zeit und begleitet den Besucher auf direktem Weg nach draußen. </w:t>
      </w:r>
    </w:p>
    <w:p w:rsidR="001042D5" w:rsidRDefault="001042D5" w:rsidP="00A5777C">
      <w:pPr>
        <w:jc w:val="both"/>
      </w:pPr>
    </w:p>
    <w:p w:rsidR="001042D5" w:rsidRDefault="001042D5" w:rsidP="00A5777C">
      <w:pPr>
        <w:jc w:val="both"/>
      </w:pPr>
    </w:p>
    <w:p w:rsidR="001042D5" w:rsidRDefault="001042D5" w:rsidP="001042D5">
      <w:pPr>
        <w:jc w:val="both"/>
        <w:rPr>
          <w:b/>
        </w:rPr>
      </w:pPr>
      <w:r>
        <w:rPr>
          <w:b/>
        </w:rPr>
        <w:t>2.7</w:t>
      </w:r>
      <w:r>
        <w:rPr>
          <w:b/>
        </w:rPr>
        <w:tab/>
        <w:t>Besucherräume</w:t>
      </w:r>
      <w:r w:rsidR="001E0F93">
        <w:rPr>
          <w:b/>
        </w:rPr>
        <w:t>/Besucherbereiche</w:t>
      </w:r>
    </w:p>
    <w:p w:rsidR="00FD42E2" w:rsidRDefault="00FD42E2" w:rsidP="001E0F93">
      <w:pPr>
        <w:jc w:val="both"/>
        <w:rPr>
          <w:rFonts w:cs="Arial"/>
        </w:rPr>
      </w:pPr>
      <w:r>
        <w:t>Um</w:t>
      </w:r>
      <w:r w:rsidRPr="000701BC">
        <w:rPr>
          <w:rFonts w:cs="Arial"/>
        </w:rPr>
        <w:t xml:space="preserve"> </w:t>
      </w:r>
      <w:r w:rsidRPr="00947398">
        <w:rPr>
          <w:rFonts w:cs="Arial"/>
        </w:rPr>
        <w:t xml:space="preserve">das Risiko der </w:t>
      </w:r>
      <w:r>
        <w:rPr>
          <w:rFonts w:cs="Arial"/>
        </w:rPr>
        <w:t xml:space="preserve">Einschleppung und Verbreitung einer </w:t>
      </w:r>
      <w:r w:rsidRPr="00947398">
        <w:rPr>
          <w:rFonts w:cs="Arial"/>
        </w:rPr>
        <w:t xml:space="preserve">Infektion mit dem Corona-Virus </w:t>
      </w:r>
      <w:r>
        <w:rPr>
          <w:rFonts w:cs="Arial"/>
        </w:rPr>
        <w:t xml:space="preserve">für die anderen Nutzer und die Mitarbeiter und </w:t>
      </w:r>
      <w:r w:rsidRPr="00947398">
        <w:rPr>
          <w:rFonts w:cs="Arial"/>
        </w:rPr>
        <w:t>so gering wie möglich zu halten</w:t>
      </w:r>
      <w:r>
        <w:rPr>
          <w:rFonts w:cs="Arial"/>
        </w:rPr>
        <w:t>, kann d</w:t>
      </w:r>
      <w:r w:rsidR="001E0F93" w:rsidRPr="00D956FD">
        <w:t xml:space="preserve">er Besuch </w:t>
      </w:r>
      <w:r w:rsidR="001E0F93">
        <w:t>nur</w:t>
      </w:r>
      <w:r w:rsidR="001E0F93" w:rsidRPr="00D956FD">
        <w:t xml:space="preserve"> </w:t>
      </w:r>
      <w:r w:rsidR="001E0F93">
        <w:t xml:space="preserve">in den hierfür hergerichteten </w:t>
      </w:r>
      <w:r w:rsidR="001E0F93" w:rsidRPr="002F782C">
        <w:t>Besucherräumen</w:t>
      </w:r>
      <w:r w:rsidR="001E0F93">
        <w:t xml:space="preserve"> oder auf ausgewiesenen Bereichen auf dem Gelände </w:t>
      </w:r>
      <w:r>
        <w:t xml:space="preserve">und </w:t>
      </w:r>
      <w:r w:rsidRPr="00FD42E2">
        <w:rPr>
          <w:u w:val="single"/>
        </w:rPr>
        <w:t>nicht</w:t>
      </w:r>
      <w:r>
        <w:t xml:space="preserve"> in den Zimmern/in der Wohnungen der Nutzer </w:t>
      </w:r>
      <w:r w:rsidR="001E0F93">
        <w:t>stattfinden</w:t>
      </w:r>
      <w:r>
        <w:t xml:space="preserve">. </w:t>
      </w:r>
      <w:r w:rsidR="000C6034">
        <w:t>Dies erfordert d</w:t>
      </w:r>
      <w:r>
        <w:t xml:space="preserve">ie räumliche </w:t>
      </w:r>
      <w:r w:rsidR="000C6034">
        <w:t xml:space="preserve">sowie die personelle </w:t>
      </w:r>
      <w:r>
        <w:t>Situation (Enge auf den Fluren und z.T. in den Zimmern</w:t>
      </w:r>
      <w:r w:rsidR="000C6034">
        <w:t xml:space="preserve">, Weitläufigkeit im Außenwohnbereich, Sicherung der Begleitung). </w:t>
      </w:r>
    </w:p>
    <w:p w:rsidR="001E0F93" w:rsidRDefault="001E0F93" w:rsidP="001E0F93">
      <w:pPr>
        <w:jc w:val="both"/>
        <w:rPr>
          <w:rFonts w:cs="Arial"/>
        </w:rPr>
      </w:pPr>
    </w:p>
    <w:p w:rsidR="001E0F93" w:rsidRDefault="001E0F93" w:rsidP="001E0F93">
      <w:pPr>
        <w:jc w:val="both"/>
      </w:pPr>
      <w:r>
        <w:t xml:space="preserve">Ein Besuch im Zimmer/in der Wohnung des Nutzers wird nur </w:t>
      </w:r>
      <w:r w:rsidRPr="00405557">
        <w:t>in Ausnahme</w:t>
      </w:r>
      <w:r>
        <w:t xml:space="preserve">situationen (z.B. im Notfall, in palliativen Situationen, bei Schwerstkranken und Sterbenden) ermöglicht und muss </w:t>
      </w:r>
      <w:r w:rsidRPr="00405557">
        <w:rPr>
          <w:u w:val="single"/>
        </w:rPr>
        <w:t>vorher</w:t>
      </w:r>
      <w:r>
        <w:t xml:space="preserve"> mit der Fachbereichsleitung abgestimmt werden.</w:t>
      </w:r>
    </w:p>
    <w:p w:rsidR="001E0F93" w:rsidRDefault="001E0F93" w:rsidP="001E0F93">
      <w:pPr>
        <w:jc w:val="both"/>
      </w:pPr>
    </w:p>
    <w:p w:rsidR="001E0F93" w:rsidRDefault="001E0F93" w:rsidP="001E0F93">
      <w:pPr>
        <w:jc w:val="both"/>
      </w:pPr>
      <w:r>
        <w:t xml:space="preserve">Folgende Räume werden als Besucherräume genutzt: </w:t>
      </w:r>
    </w:p>
    <w:p w:rsidR="001E0F93" w:rsidRDefault="001E0F93" w:rsidP="001E0F93">
      <w:pPr>
        <w:pStyle w:val="Listenabsatz"/>
        <w:numPr>
          <w:ilvl w:val="0"/>
          <w:numId w:val="11"/>
        </w:numPr>
        <w:jc w:val="both"/>
      </w:pPr>
      <w:r>
        <w:t>Walter-</w:t>
      </w:r>
      <w:proofErr w:type="spellStart"/>
      <w:r>
        <w:t>Mülich</w:t>
      </w:r>
      <w:proofErr w:type="spellEnd"/>
      <w:r>
        <w:t>-Haus: Besprechungsraum, EG rechts neben dem Haupteingang</w:t>
      </w:r>
    </w:p>
    <w:p w:rsidR="001E0F93" w:rsidRDefault="001E0F93" w:rsidP="001E0F93">
      <w:pPr>
        <w:pStyle w:val="Listenabsatz"/>
        <w:numPr>
          <w:ilvl w:val="0"/>
          <w:numId w:val="11"/>
        </w:numPr>
        <w:jc w:val="both"/>
      </w:pPr>
      <w:r>
        <w:t>Wohnstätte Kleiner Blink: Gemeinschaftsraum/Wohnzimmer, 2. OG</w:t>
      </w:r>
    </w:p>
    <w:p w:rsidR="001E0F93" w:rsidRDefault="001E0F93" w:rsidP="001E0F93">
      <w:pPr>
        <w:pStyle w:val="Listenabsatz"/>
        <w:numPr>
          <w:ilvl w:val="0"/>
          <w:numId w:val="11"/>
        </w:numPr>
        <w:jc w:val="both"/>
      </w:pPr>
      <w:r>
        <w:t>Außenwohngruppen Jakob-Kaiser-Str. 8d und 12a: Gemeinschaftsraum in der Anlaufstelle der AWG Jakob-Kaiser-Str. 12a</w:t>
      </w:r>
    </w:p>
    <w:p w:rsidR="001E0F93" w:rsidRDefault="001E0F93" w:rsidP="001E0F93">
      <w:pPr>
        <w:pStyle w:val="Listenabsatz"/>
        <w:numPr>
          <w:ilvl w:val="0"/>
          <w:numId w:val="11"/>
        </w:numPr>
        <w:jc w:val="both"/>
      </w:pPr>
      <w:r>
        <w:t>Außenwohngruppen Fritz-Erler-Str. 1 und 3: Gemeinschaftsraum in der Anlaufstelle der AWG Fritz-Erler-Str. 1</w:t>
      </w:r>
    </w:p>
    <w:p w:rsidR="001E0F93" w:rsidRPr="00854E33" w:rsidRDefault="001E0F93" w:rsidP="001E0F93">
      <w:pPr>
        <w:pStyle w:val="Listenabsatz"/>
        <w:numPr>
          <w:ilvl w:val="0"/>
          <w:numId w:val="11"/>
        </w:numPr>
        <w:jc w:val="both"/>
      </w:pPr>
      <w:r w:rsidRPr="00854E33">
        <w:t xml:space="preserve">Außenwohngruppe </w:t>
      </w:r>
      <w:proofErr w:type="spellStart"/>
      <w:r w:rsidRPr="00854E33">
        <w:t>Bürgerm</w:t>
      </w:r>
      <w:proofErr w:type="spellEnd"/>
      <w:r w:rsidRPr="00854E33">
        <w:t xml:space="preserve">.-Smidt-Str. 122: Gemeinschaftsraum in der Anlaufstelle der AWG </w:t>
      </w:r>
      <w:proofErr w:type="spellStart"/>
      <w:r w:rsidRPr="00854E33">
        <w:t>Bürgerm</w:t>
      </w:r>
      <w:proofErr w:type="spellEnd"/>
      <w:r w:rsidRPr="00854E33">
        <w:t>.-Smidt-Str. 122</w:t>
      </w:r>
    </w:p>
    <w:p w:rsidR="001E0F93" w:rsidRPr="00854E33" w:rsidRDefault="001E0F93" w:rsidP="001E0F93">
      <w:pPr>
        <w:pStyle w:val="Listenabsatz"/>
        <w:numPr>
          <w:ilvl w:val="0"/>
          <w:numId w:val="11"/>
        </w:numPr>
        <w:jc w:val="both"/>
      </w:pPr>
      <w:r w:rsidRPr="00854E33">
        <w:t xml:space="preserve">Außenwohngruppe </w:t>
      </w:r>
      <w:proofErr w:type="spellStart"/>
      <w:r w:rsidRPr="00854E33">
        <w:t>Scharnhorststr</w:t>
      </w:r>
      <w:proofErr w:type="spellEnd"/>
      <w:r w:rsidRPr="00854E33">
        <w:t xml:space="preserve">. 17: Gemeinschaftsraum in der Anlaufstelle der AWG </w:t>
      </w:r>
      <w:proofErr w:type="spellStart"/>
      <w:r w:rsidRPr="00854E33">
        <w:t>Scharnhorststr</w:t>
      </w:r>
      <w:proofErr w:type="spellEnd"/>
      <w:r w:rsidRPr="00854E33">
        <w:t>. 17</w:t>
      </w:r>
    </w:p>
    <w:p w:rsidR="001E0F93" w:rsidRPr="00854E33" w:rsidRDefault="001E0F93" w:rsidP="001E0F93">
      <w:pPr>
        <w:pStyle w:val="Listenabsatz"/>
        <w:numPr>
          <w:ilvl w:val="0"/>
          <w:numId w:val="11"/>
        </w:numPr>
        <w:jc w:val="both"/>
      </w:pPr>
      <w:r w:rsidRPr="00854E33">
        <w:t xml:space="preserve">trägergesteuerte Wohngemeinschaften (diverse Adressen) Betreutes Wohnen: hier werden jeweils Besucherräume in den Anlaufstellen des Außenwohnbereichs genutzt. </w:t>
      </w:r>
      <w:r w:rsidRPr="00EA6ED9">
        <w:t xml:space="preserve">Für den Wohnraum ohne AWG-Anbindung werden im Bedarfsfall individuelle Regelungen getroffen. </w:t>
      </w:r>
    </w:p>
    <w:p w:rsidR="001E0F93" w:rsidRDefault="001E0F93" w:rsidP="001E0F93">
      <w:pPr>
        <w:jc w:val="both"/>
      </w:pPr>
    </w:p>
    <w:p w:rsidR="000C6034" w:rsidRPr="00EE4410" w:rsidRDefault="000C6034" w:rsidP="000C6034">
      <w:pPr>
        <w:jc w:val="both"/>
      </w:pPr>
      <w:r w:rsidRPr="00EE4410">
        <w:t xml:space="preserve">In </w:t>
      </w:r>
      <w:r w:rsidR="00EE4410" w:rsidRPr="00EE4410">
        <w:t>allen</w:t>
      </w:r>
      <w:r w:rsidRPr="00EE4410">
        <w:t xml:space="preserve"> Besucherräumen stehen </w:t>
      </w:r>
      <w:proofErr w:type="spellStart"/>
      <w:r w:rsidRPr="00EE4410">
        <w:t>Plexiglasbarriere</w:t>
      </w:r>
      <w:r w:rsidR="00EE4410" w:rsidRPr="00EE4410">
        <w:t>n</w:t>
      </w:r>
      <w:proofErr w:type="spellEnd"/>
      <w:r w:rsidR="00EE4410" w:rsidRPr="00EE4410">
        <w:t xml:space="preserve"> zur Verfügung, die</w:t>
      </w:r>
      <w:r w:rsidRPr="00EE4410">
        <w:t xml:space="preserve"> auf dem Besuchertisch </w:t>
      </w:r>
      <w:r w:rsidR="00EE4410" w:rsidRPr="00EE4410">
        <w:t>platziert sind und einen zusätzlichen Schutz bieten.</w:t>
      </w:r>
    </w:p>
    <w:p w:rsidR="00EE4410" w:rsidRPr="00EE4410" w:rsidRDefault="00EE4410" w:rsidP="000C6034">
      <w:pPr>
        <w:jc w:val="both"/>
      </w:pPr>
    </w:p>
    <w:p w:rsidR="001E0F93" w:rsidRPr="002F782C" w:rsidRDefault="001E0F93" w:rsidP="001E0F93">
      <w:pPr>
        <w:jc w:val="both"/>
      </w:pPr>
      <w:r>
        <w:t xml:space="preserve">In den Wohnstätten kann der Besuch alternativ </w:t>
      </w:r>
      <w:r w:rsidR="00EE4410">
        <w:t xml:space="preserve">zum Besucherraum </w:t>
      </w:r>
      <w:r>
        <w:t xml:space="preserve">auf einem ausgewiesenen Bereich </w:t>
      </w:r>
      <w:r w:rsidRPr="002F782C">
        <w:t xml:space="preserve">auf dem </w:t>
      </w:r>
      <w:r w:rsidR="00EE4410">
        <w:t>Außeng</w:t>
      </w:r>
      <w:r w:rsidRPr="002F782C">
        <w:t>elände stattfinden. Dies ist am Walter-</w:t>
      </w:r>
      <w:proofErr w:type="spellStart"/>
      <w:r w:rsidRPr="002F782C">
        <w:t>Mülich</w:t>
      </w:r>
      <w:proofErr w:type="spellEnd"/>
      <w:r w:rsidRPr="002F782C">
        <w:t>-Haus der Bereich vor dem Haus und an der Wohnstätte Kleiner Blink die Terrasse neben dem Haus.</w:t>
      </w:r>
    </w:p>
    <w:p w:rsidR="001E0F93" w:rsidRPr="002F782C" w:rsidRDefault="001E0F93" w:rsidP="001E0F93">
      <w:pPr>
        <w:jc w:val="both"/>
      </w:pPr>
    </w:p>
    <w:p w:rsidR="00410E76" w:rsidRDefault="00410E76" w:rsidP="00410E76">
      <w:pPr>
        <w:jc w:val="both"/>
      </w:pPr>
      <w:r w:rsidRPr="002F782C">
        <w:t>Der Besucherraum bzw. der für den Besuch ausgewiesene Bereich auf dem Außengelände ist ohne Umwege und ohne unnötige Begegnungen/Konta</w:t>
      </w:r>
      <w:r>
        <w:t>ktaufnahmen zu anderen aufzusuchen.</w:t>
      </w:r>
    </w:p>
    <w:p w:rsidR="00410E76" w:rsidRDefault="00410E76" w:rsidP="001E0F93">
      <w:pPr>
        <w:jc w:val="both"/>
      </w:pPr>
    </w:p>
    <w:p w:rsidR="002337B7" w:rsidRDefault="002337B7" w:rsidP="001E0F93">
      <w:pPr>
        <w:jc w:val="both"/>
      </w:pPr>
    </w:p>
    <w:p w:rsidR="001E0F93" w:rsidRDefault="001E0F93" w:rsidP="001E0F93">
      <w:pPr>
        <w:jc w:val="both"/>
        <w:rPr>
          <w:b/>
        </w:rPr>
      </w:pPr>
      <w:r>
        <w:rPr>
          <w:b/>
        </w:rPr>
        <w:t>2.8</w:t>
      </w:r>
      <w:r>
        <w:rPr>
          <w:b/>
        </w:rPr>
        <w:tab/>
        <w:t>Anzahl der Besuchspersonen</w:t>
      </w:r>
    </w:p>
    <w:p w:rsidR="00992987" w:rsidRDefault="001E0F93" w:rsidP="001042D5">
      <w:pPr>
        <w:jc w:val="both"/>
      </w:pPr>
      <w:r w:rsidRPr="001E0F93">
        <w:t>Aufgrund der räumlichen Gegebenheiten in den Besucher</w:t>
      </w:r>
      <w:r w:rsidR="00EE4410">
        <w:t>räumen</w:t>
      </w:r>
      <w:r w:rsidR="00410E76">
        <w:t>,</w:t>
      </w:r>
      <w:r w:rsidRPr="001E0F93">
        <w:t xml:space="preserve"> k</w:t>
      </w:r>
      <w:r w:rsidR="00992987">
        <w:t>a</w:t>
      </w:r>
      <w:r w:rsidRPr="001E0F93">
        <w:t xml:space="preserve">nn hier </w:t>
      </w:r>
      <w:r w:rsidRPr="002F782C">
        <w:t xml:space="preserve">maximal </w:t>
      </w:r>
      <w:r w:rsidRPr="002337B7">
        <w:t>drei Besucher</w:t>
      </w:r>
      <w:r w:rsidR="00992987" w:rsidRPr="002337B7">
        <w:t>n</w:t>
      </w:r>
      <w:r w:rsidRPr="002F782C">
        <w:t xml:space="preserve"> gleichzeitig</w:t>
      </w:r>
      <w:r w:rsidRPr="001E0F93">
        <w:t xml:space="preserve"> </w:t>
      </w:r>
      <w:r>
        <w:t>der Zutritt gewährt werden.</w:t>
      </w:r>
    </w:p>
    <w:p w:rsidR="001042D5" w:rsidRPr="001E0F93" w:rsidRDefault="001E0F93" w:rsidP="001042D5">
      <w:pPr>
        <w:jc w:val="both"/>
      </w:pPr>
      <w:r>
        <w:lastRenderedPageBreak/>
        <w:t>Ist eine durchgehend Begleitung des Besuchs durch einen Mitarbeiter erforderlich, ist die Anzahl der Besuchspersonen, di</w:t>
      </w:r>
      <w:r w:rsidR="00992987">
        <w:t>e sich gleichzeitig im Besucherraum</w:t>
      </w:r>
      <w:r>
        <w:t xml:space="preserve"> aufhalten</w:t>
      </w:r>
      <w:r w:rsidR="00410E76">
        <w:t>,</w:t>
      </w:r>
      <w:r>
        <w:t xml:space="preserve"> auf zwei Personen begrenzt.</w:t>
      </w:r>
    </w:p>
    <w:p w:rsidR="001E0F93" w:rsidRDefault="001E0F93" w:rsidP="001042D5">
      <w:pPr>
        <w:jc w:val="both"/>
      </w:pPr>
    </w:p>
    <w:p w:rsidR="00992987" w:rsidRPr="001E0F93" w:rsidRDefault="00992987" w:rsidP="001042D5">
      <w:pPr>
        <w:jc w:val="both"/>
      </w:pPr>
    </w:p>
    <w:p w:rsidR="001042D5" w:rsidRDefault="001042D5" w:rsidP="001042D5">
      <w:pPr>
        <w:jc w:val="both"/>
        <w:rPr>
          <w:b/>
        </w:rPr>
      </w:pPr>
      <w:r>
        <w:rPr>
          <w:b/>
        </w:rPr>
        <w:t>2.</w:t>
      </w:r>
      <w:r w:rsidR="001E0F93">
        <w:rPr>
          <w:b/>
        </w:rPr>
        <w:t>9</w:t>
      </w:r>
      <w:r>
        <w:rPr>
          <w:b/>
        </w:rPr>
        <w:tab/>
        <w:t>Terminabsprachen</w:t>
      </w:r>
    </w:p>
    <w:p w:rsidR="00D956FD" w:rsidRDefault="001042D5" w:rsidP="00A5777C">
      <w:pPr>
        <w:jc w:val="both"/>
      </w:pPr>
      <w:r>
        <w:t>Um die Nutzung der Besucher</w:t>
      </w:r>
      <w:r w:rsidR="00992987">
        <w:t>räume</w:t>
      </w:r>
      <w:r w:rsidR="002337B7">
        <w:t xml:space="preserve"> </w:t>
      </w:r>
      <w:r>
        <w:t>koordinieren und eine entsprechende Begleitung durch das Personal gewährleisten zu können, können</w:t>
      </w:r>
      <w:r w:rsidRPr="00D956FD">
        <w:t xml:space="preserve"> </w:t>
      </w:r>
      <w:r w:rsidR="00D956FD" w:rsidRPr="00D956FD">
        <w:t>Besuch</w:t>
      </w:r>
      <w:r w:rsidR="00215C35">
        <w:t>e</w:t>
      </w:r>
      <w:r w:rsidR="00D956FD" w:rsidRPr="00D956FD">
        <w:t xml:space="preserve"> </w:t>
      </w:r>
      <w:r w:rsidR="00215C35" w:rsidRPr="002F782C">
        <w:t xml:space="preserve">nur nach vorheriger </w:t>
      </w:r>
      <w:r w:rsidR="00D956FD" w:rsidRPr="002F782C">
        <w:t xml:space="preserve">Terminabsprache </w:t>
      </w:r>
      <w:r w:rsidR="00D956FD" w:rsidRPr="00D956FD">
        <w:t>statt</w:t>
      </w:r>
      <w:r w:rsidR="00215C35" w:rsidRPr="00D956FD">
        <w:t>finde</w:t>
      </w:r>
      <w:r w:rsidR="00215C35">
        <w:t>n</w:t>
      </w:r>
      <w:r w:rsidR="001E0F93">
        <w:t>.</w:t>
      </w:r>
    </w:p>
    <w:p w:rsidR="003152AD" w:rsidRDefault="003152AD" w:rsidP="00A5777C">
      <w:pPr>
        <w:jc w:val="both"/>
      </w:pPr>
    </w:p>
    <w:p w:rsidR="001E0F93" w:rsidRDefault="001E0F93" w:rsidP="001E0F93">
      <w:pPr>
        <w:jc w:val="both"/>
      </w:pPr>
      <w:r>
        <w:t xml:space="preserve">Die Terminkoordination für die Besuche erfolgt durch die </w:t>
      </w:r>
      <w:r w:rsidRPr="00410E76">
        <w:t>Fachkräfte in den Teams</w:t>
      </w:r>
      <w:r w:rsidR="00992987">
        <w:t xml:space="preserve"> der Wohngruppen/Außenwohngruppen</w:t>
      </w:r>
      <w:r>
        <w:t>. Die Wü</w:t>
      </w:r>
      <w:r w:rsidR="00992987">
        <w:t>nsche der Nutzer und der Besuchspersonen</w:t>
      </w:r>
      <w:r>
        <w:t xml:space="preserve"> </w:t>
      </w:r>
      <w:r w:rsidR="00410E76">
        <w:t xml:space="preserve">werden selbstverständlich </w:t>
      </w:r>
      <w:r>
        <w:t>berücksichtig</w:t>
      </w:r>
      <w:r w:rsidR="00410E76">
        <w:t>t</w:t>
      </w:r>
      <w:r>
        <w:t>, sofern nicht Abläufe sowie die Ansprüche anderer Nutzer dagegen s</w:t>
      </w:r>
      <w:r w:rsidR="00410E76">
        <w:t>t</w:t>
      </w:r>
      <w:r>
        <w:t>ehen.</w:t>
      </w:r>
    </w:p>
    <w:p w:rsidR="001E0F93" w:rsidRDefault="001E0F93" w:rsidP="001E0F93">
      <w:pPr>
        <w:jc w:val="both"/>
      </w:pPr>
    </w:p>
    <w:p w:rsidR="001E0F93" w:rsidRDefault="001E0F93" w:rsidP="001E0F93">
      <w:pPr>
        <w:jc w:val="both"/>
      </w:pPr>
      <w:r>
        <w:t xml:space="preserve">Zwischen den Terminen ist entsprechend Zeit für die Vorbereitung des Besucherraumes für den nächsten Besuch </w:t>
      </w:r>
      <w:r w:rsidR="00992987">
        <w:t xml:space="preserve">(Reinigung und Desinfektion) </w:t>
      </w:r>
      <w:r>
        <w:t>einzuplanen.</w:t>
      </w:r>
    </w:p>
    <w:p w:rsidR="001E0F93" w:rsidRDefault="001E0F93" w:rsidP="00A5777C">
      <w:pPr>
        <w:jc w:val="both"/>
      </w:pPr>
    </w:p>
    <w:p w:rsidR="009502EA" w:rsidRDefault="009502EA" w:rsidP="00A5777C">
      <w:pPr>
        <w:jc w:val="both"/>
      </w:pPr>
      <w:r>
        <w:t xml:space="preserve">Tritt eine COVID-19-Erkrankung/ein Verdachtsfall auf, </w:t>
      </w:r>
      <w:r w:rsidR="001E0F93">
        <w:t>dürfen a</w:t>
      </w:r>
      <w:r>
        <w:t xml:space="preserve">uch vorher abgesprochene Besuchstermine </w:t>
      </w:r>
      <w:r w:rsidR="001E0F93">
        <w:t xml:space="preserve">in dem betroffenen Bereich </w:t>
      </w:r>
      <w:r>
        <w:t>nicht mehr stattfinden.</w:t>
      </w:r>
      <w:r w:rsidR="001E0F93">
        <w:t xml:space="preserve"> D</w:t>
      </w:r>
      <w:r w:rsidR="00992987">
        <w:t>ie</w:t>
      </w:r>
      <w:r w:rsidR="001E0F93">
        <w:t xml:space="preserve"> zuständige</w:t>
      </w:r>
      <w:r w:rsidR="00992987">
        <w:t>n Mitarbeiter koordinieren die Terminabsagen.</w:t>
      </w:r>
    </w:p>
    <w:p w:rsidR="009502EA" w:rsidRDefault="009502EA" w:rsidP="00A5777C">
      <w:pPr>
        <w:jc w:val="both"/>
      </w:pPr>
    </w:p>
    <w:p w:rsidR="00E4534C" w:rsidRDefault="00E4534C" w:rsidP="00A5777C">
      <w:pPr>
        <w:jc w:val="both"/>
      </w:pPr>
    </w:p>
    <w:p w:rsidR="00D4649E" w:rsidRPr="00273ED7" w:rsidRDefault="00D4649E" w:rsidP="00A5777C">
      <w:pPr>
        <w:jc w:val="both"/>
      </w:pPr>
    </w:p>
    <w:p w:rsidR="00A5777C" w:rsidRPr="00A5777C" w:rsidRDefault="00A5777C" w:rsidP="00A5777C">
      <w:pPr>
        <w:pStyle w:val="Listenabsatz"/>
        <w:numPr>
          <w:ilvl w:val="0"/>
          <w:numId w:val="12"/>
        </w:numPr>
        <w:ind w:hanging="720"/>
        <w:jc w:val="both"/>
        <w:rPr>
          <w:b/>
        </w:rPr>
      </w:pPr>
      <w:r w:rsidRPr="00A5777C">
        <w:rPr>
          <w:b/>
        </w:rPr>
        <w:t>Auffälligkeiten/</w:t>
      </w:r>
      <w:r w:rsidR="00273ED7">
        <w:rPr>
          <w:b/>
        </w:rPr>
        <w:t xml:space="preserve">Verstöße gegen </w:t>
      </w:r>
      <w:r w:rsidRPr="00A5777C">
        <w:rPr>
          <w:b/>
        </w:rPr>
        <w:t>Besuch</w:t>
      </w:r>
      <w:r w:rsidR="00273ED7">
        <w:rPr>
          <w:b/>
        </w:rPr>
        <w:t>sregeln</w:t>
      </w:r>
    </w:p>
    <w:p w:rsidR="00273ED7" w:rsidRDefault="00273ED7" w:rsidP="00273ED7">
      <w:pPr>
        <w:jc w:val="both"/>
      </w:pPr>
      <w:r>
        <w:t xml:space="preserve">Besuchspersonen, die sich nicht an die Regelungen halten, können von weiteren Besuchen </w:t>
      </w:r>
      <w:r w:rsidR="002337B7">
        <w:t xml:space="preserve">in den Einrichtungen </w:t>
      </w:r>
      <w:r>
        <w:t>ausgeschlossen werden.</w:t>
      </w:r>
    </w:p>
    <w:p w:rsidR="00A5777C" w:rsidRPr="0094550E" w:rsidRDefault="00A5777C" w:rsidP="00A5777C">
      <w:pPr>
        <w:jc w:val="both"/>
      </w:pPr>
    </w:p>
    <w:p w:rsidR="00A5777C" w:rsidRPr="002337B7" w:rsidRDefault="00A5777C" w:rsidP="00A5777C">
      <w:pPr>
        <w:jc w:val="both"/>
      </w:pPr>
      <w:r w:rsidRPr="0094550E">
        <w:t xml:space="preserve">Auffälligkeiten oder Regelverstöße während des Besuches </w:t>
      </w:r>
      <w:r w:rsidR="00273ED7">
        <w:t>werden</w:t>
      </w:r>
      <w:r w:rsidRPr="0094550E">
        <w:t xml:space="preserve"> der Fachbereichsleitung </w:t>
      </w:r>
      <w:r w:rsidR="00273ED7">
        <w:t>ge</w:t>
      </w:r>
      <w:r w:rsidRPr="0094550E">
        <w:t>melde</w:t>
      </w:r>
      <w:r w:rsidR="00273ED7">
        <w:t>t</w:t>
      </w:r>
      <w:r w:rsidRPr="0094550E">
        <w:t>. Diese entscheidet</w:t>
      </w:r>
      <w:r w:rsidR="00273ED7">
        <w:t>, ggfls.</w:t>
      </w:r>
      <w:r w:rsidRPr="0094550E">
        <w:t xml:space="preserve"> gemeinsam mit dem Gesundheitsamt</w:t>
      </w:r>
      <w:r w:rsidR="00273ED7">
        <w:t>,</w:t>
      </w:r>
      <w:r w:rsidRPr="0094550E">
        <w:t xml:space="preserve"> zu no</w:t>
      </w:r>
      <w:r w:rsidR="0047099E">
        <w:t xml:space="preserve">twendigen Konsequenzen (z.B. </w:t>
      </w:r>
      <w:r w:rsidR="00992987" w:rsidRPr="002337B7">
        <w:t>anschließende Absonderung</w:t>
      </w:r>
      <w:r w:rsidRPr="002337B7">
        <w:t xml:space="preserve"> des Nutzers</w:t>
      </w:r>
      <w:r w:rsidR="00992987" w:rsidRPr="002337B7">
        <w:t xml:space="preserve"> von der restlichen Gruppe</w:t>
      </w:r>
      <w:r w:rsidRPr="002337B7">
        <w:t>).</w:t>
      </w:r>
    </w:p>
    <w:sectPr w:rsidR="00A5777C" w:rsidRPr="002337B7" w:rsidSect="00153CDC">
      <w:head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C4" w:rsidRDefault="00AB7EC4" w:rsidP="000772AD">
      <w:r>
        <w:separator/>
      </w:r>
    </w:p>
  </w:endnote>
  <w:endnote w:type="continuationSeparator" w:id="0">
    <w:p w:rsidR="00AB7EC4" w:rsidRDefault="00AB7EC4" w:rsidP="0007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632" w:type="dxa"/>
      <w:tblInd w:w="-601" w:type="dxa"/>
      <w:tblLook w:val="04A0"/>
    </w:tblPr>
    <w:tblGrid>
      <w:gridCol w:w="3544"/>
      <w:gridCol w:w="3544"/>
      <w:gridCol w:w="3544"/>
    </w:tblGrid>
    <w:tr w:rsidR="00AB7EC4" w:rsidRPr="00AD5615" w:rsidTr="0060552B">
      <w:tc>
        <w:tcPr>
          <w:tcW w:w="3544" w:type="dxa"/>
        </w:tcPr>
        <w:p w:rsidR="00AB7EC4" w:rsidRPr="00AD5615" w:rsidRDefault="00AB7EC4" w:rsidP="0034043D">
          <w:pPr>
            <w:pStyle w:val="Fuzeile"/>
            <w:rPr>
              <w:rFonts w:cs="Arial"/>
            </w:rPr>
          </w:pPr>
          <w:r w:rsidRPr="00AD5615">
            <w:rPr>
              <w:rFonts w:cs="Arial"/>
            </w:rPr>
            <w:t>Erstellt am / von:</w:t>
          </w:r>
        </w:p>
        <w:p w:rsidR="00AB7EC4" w:rsidRPr="00AD5615" w:rsidRDefault="00AB7EC4" w:rsidP="003E302F">
          <w:pPr>
            <w:pStyle w:val="Fuzeile"/>
            <w:tabs>
              <w:tab w:val="clear" w:pos="4536"/>
              <w:tab w:val="clear" w:pos="9072"/>
              <w:tab w:val="left" w:pos="2628"/>
            </w:tabs>
            <w:rPr>
              <w:rFonts w:cs="Arial"/>
            </w:rPr>
          </w:pPr>
          <w:r>
            <w:rPr>
              <w:rFonts w:cs="Arial"/>
            </w:rPr>
            <w:t>25.01.2021/ Hanke</w:t>
          </w:r>
        </w:p>
      </w:tc>
      <w:tc>
        <w:tcPr>
          <w:tcW w:w="3544" w:type="dxa"/>
        </w:tcPr>
        <w:p w:rsidR="00AB7EC4" w:rsidRPr="00AD5615" w:rsidRDefault="00AB7EC4" w:rsidP="0034043D">
          <w:pPr>
            <w:pStyle w:val="Fuzeile"/>
            <w:rPr>
              <w:rFonts w:cs="Arial"/>
            </w:rPr>
          </w:pPr>
          <w:r w:rsidRPr="00AD5615">
            <w:rPr>
              <w:rFonts w:cs="Arial"/>
            </w:rPr>
            <w:t>Geprüft am /von:</w:t>
          </w:r>
        </w:p>
        <w:p w:rsidR="00AB7EC4" w:rsidRPr="00AD5615" w:rsidRDefault="00AB7EC4" w:rsidP="003E302F">
          <w:pPr>
            <w:pStyle w:val="Fuzeile"/>
            <w:rPr>
              <w:rFonts w:cs="Arial"/>
            </w:rPr>
          </w:pPr>
          <w:r>
            <w:rPr>
              <w:rFonts w:cs="Arial"/>
            </w:rPr>
            <w:t xml:space="preserve">25.01.2021/ </w:t>
          </w:r>
          <w:r w:rsidRPr="002337B7">
            <w:rPr>
              <w:rFonts w:cs="Arial"/>
            </w:rPr>
            <w:t>Hanke</w:t>
          </w:r>
        </w:p>
      </w:tc>
      <w:tc>
        <w:tcPr>
          <w:tcW w:w="3544" w:type="dxa"/>
        </w:tcPr>
        <w:p w:rsidR="00AB7EC4" w:rsidRPr="00AD5615" w:rsidRDefault="00AB7EC4" w:rsidP="0034043D">
          <w:pPr>
            <w:pStyle w:val="Fuzeile"/>
            <w:rPr>
              <w:rFonts w:cs="Arial"/>
            </w:rPr>
          </w:pPr>
          <w:r w:rsidRPr="00AD5615">
            <w:rPr>
              <w:rFonts w:cs="Arial"/>
            </w:rPr>
            <w:t>Freigegeben am / von:</w:t>
          </w:r>
        </w:p>
        <w:p w:rsidR="00AB7EC4" w:rsidRPr="00AD5615" w:rsidRDefault="00AB7EC4" w:rsidP="003E302F">
          <w:pPr>
            <w:pStyle w:val="Fuzeile"/>
            <w:rPr>
              <w:rFonts w:cs="Arial"/>
            </w:rPr>
          </w:pPr>
          <w:r>
            <w:rPr>
              <w:rFonts w:cs="Arial"/>
            </w:rPr>
            <w:t>26.01.2021/ Bau</w:t>
          </w:r>
        </w:p>
      </w:tc>
    </w:tr>
  </w:tbl>
  <w:p w:rsidR="00AB7EC4" w:rsidRDefault="00AB7EC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C4" w:rsidRDefault="00AB7EC4" w:rsidP="000772AD">
      <w:r>
        <w:separator/>
      </w:r>
    </w:p>
  </w:footnote>
  <w:footnote w:type="continuationSeparator" w:id="0">
    <w:p w:rsidR="00AB7EC4" w:rsidRDefault="00AB7EC4" w:rsidP="000772AD">
      <w:r>
        <w:continuationSeparator/>
      </w:r>
    </w:p>
  </w:footnote>
  <w:footnote w:id="1">
    <w:p w:rsidR="00AB7EC4" w:rsidRDefault="00AB7EC4" w:rsidP="00FE0A6D">
      <w:pPr>
        <w:ind w:left="142" w:hanging="142"/>
        <w:rPr>
          <w:rFonts w:cs="Arial"/>
          <w:sz w:val="16"/>
          <w:szCs w:val="16"/>
        </w:rPr>
      </w:pPr>
      <w:r w:rsidRPr="005102C0">
        <w:rPr>
          <w:rStyle w:val="Funotenzeichen"/>
          <w:sz w:val="16"/>
          <w:szCs w:val="16"/>
        </w:rPr>
        <w:footnoteRef/>
      </w:r>
      <w:r w:rsidRPr="005102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102C0">
        <w:rPr>
          <w:rFonts w:cs="Arial"/>
          <w:sz w:val="16"/>
          <w:szCs w:val="16"/>
        </w:rPr>
        <w:t>Zur besseren Lesbarkeit nutzen wir die männliche Form. Selbstverständlich sind damit Menschen aller Geschlechter (m/w/d) gleichermaßen gemeint.</w:t>
      </w:r>
    </w:p>
    <w:p w:rsidR="00AB7EC4" w:rsidRPr="005102C0" w:rsidRDefault="00AB7EC4" w:rsidP="00FE0A6D">
      <w:pPr>
        <w:ind w:left="142" w:hanging="142"/>
        <w:rPr>
          <w:rFonts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348" w:type="dxa"/>
      <w:tblInd w:w="-459" w:type="dxa"/>
      <w:tblLook w:val="04A0"/>
    </w:tblPr>
    <w:tblGrid>
      <w:gridCol w:w="2268"/>
      <w:gridCol w:w="4536"/>
      <w:gridCol w:w="3544"/>
    </w:tblGrid>
    <w:tr w:rsidR="00AB7EC4" w:rsidTr="00B76C8B">
      <w:trPr>
        <w:trHeight w:val="590"/>
      </w:trPr>
      <w:tc>
        <w:tcPr>
          <w:tcW w:w="2268" w:type="dxa"/>
        </w:tcPr>
        <w:sdt>
          <w:sdtPr>
            <w:rPr>
              <w:rFonts w:cs="Arial"/>
            </w:rPr>
            <w:id w:val="166971942"/>
            <w:docPartObj>
              <w:docPartGallery w:val="Page Numbers (Top of Page)"/>
              <w:docPartUnique/>
            </w:docPartObj>
          </w:sdtPr>
          <w:sdtContent>
            <w:p w:rsidR="00AB7EC4" w:rsidRPr="00AD5615" w:rsidRDefault="00AB7EC4" w:rsidP="00292911">
              <w:pPr>
                <w:rPr>
                  <w:rFonts w:cs="Arial"/>
                </w:rPr>
              </w:pPr>
              <w:r w:rsidRPr="00AD5615">
                <w:rPr>
                  <w:rFonts w:cs="Arial"/>
                </w:rPr>
                <w:t xml:space="preserve">Version: </w:t>
              </w:r>
              <w:r>
                <w:rPr>
                  <w:rFonts w:cs="Arial"/>
                </w:rPr>
                <w:t>2</w:t>
              </w:r>
            </w:p>
            <w:p w:rsidR="00AB7EC4" w:rsidRPr="00AD5615" w:rsidRDefault="00AB7EC4" w:rsidP="00292911">
              <w:pPr>
                <w:rPr>
                  <w:rFonts w:cs="Arial"/>
                </w:rPr>
              </w:pPr>
              <w:r w:rsidRPr="00AD5615">
                <w:rPr>
                  <w:rFonts w:cs="Arial"/>
                </w:rPr>
                <w:t xml:space="preserve">Stand: </w:t>
              </w:r>
              <w:r>
                <w:rPr>
                  <w:rFonts w:cs="Arial"/>
                </w:rPr>
                <w:t>25.01.2021</w:t>
              </w:r>
            </w:p>
            <w:p w:rsidR="00AB7EC4" w:rsidRPr="00AD5615" w:rsidRDefault="00AB7EC4" w:rsidP="00292911">
              <w:pPr>
                <w:rPr>
                  <w:rFonts w:cs="Arial"/>
                </w:rPr>
              </w:pPr>
              <w:r w:rsidRPr="00AD5615">
                <w:rPr>
                  <w:rFonts w:cs="Arial"/>
                </w:rPr>
                <w:t xml:space="preserve">Seite </w:t>
              </w:r>
              <w:r w:rsidR="0038116A" w:rsidRPr="00AD5615">
                <w:rPr>
                  <w:rFonts w:cs="Arial"/>
                </w:rPr>
                <w:fldChar w:fldCharType="begin"/>
              </w:r>
              <w:r w:rsidRPr="00AD5615">
                <w:rPr>
                  <w:rFonts w:cs="Arial"/>
                </w:rPr>
                <w:instrText xml:space="preserve"> PAGE </w:instrText>
              </w:r>
              <w:r w:rsidR="0038116A" w:rsidRPr="00AD5615">
                <w:rPr>
                  <w:rFonts w:cs="Arial"/>
                </w:rPr>
                <w:fldChar w:fldCharType="separate"/>
              </w:r>
              <w:r w:rsidR="00BB7188">
                <w:rPr>
                  <w:rFonts w:cs="Arial"/>
                  <w:noProof/>
                </w:rPr>
                <w:t>4</w:t>
              </w:r>
              <w:r w:rsidR="0038116A" w:rsidRPr="00AD5615">
                <w:rPr>
                  <w:rFonts w:cs="Arial"/>
                </w:rPr>
                <w:fldChar w:fldCharType="end"/>
              </w:r>
              <w:r w:rsidRPr="00AD5615">
                <w:rPr>
                  <w:rFonts w:cs="Arial"/>
                </w:rPr>
                <w:t xml:space="preserve"> von </w:t>
              </w:r>
              <w:r w:rsidR="0038116A" w:rsidRPr="00AD5615">
                <w:rPr>
                  <w:rFonts w:cs="Arial"/>
                </w:rPr>
                <w:fldChar w:fldCharType="begin"/>
              </w:r>
              <w:r w:rsidRPr="00AD5615">
                <w:rPr>
                  <w:rFonts w:cs="Arial"/>
                </w:rPr>
                <w:instrText xml:space="preserve"> NUMPAGES  </w:instrText>
              </w:r>
              <w:r w:rsidR="0038116A" w:rsidRPr="00AD5615">
                <w:rPr>
                  <w:rFonts w:cs="Arial"/>
                </w:rPr>
                <w:fldChar w:fldCharType="separate"/>
              </w:r>
              <w:r w:rsidR="00BB7188">
                <w:rPr>
                  <w:rFonts w:cs="Arial"/>
                  <w:noProof/>
                </w:rPr>
                <w:t>4</w:t>
              </w:r>
              <w:r w:rsidR="0038116A" w:rsidRPr="00AD5615">
                <w:rPr>
                  <w:rFonts w:cs="Arial"/>
                </w:rPr>
                <w:fldChar w:fldCharType="end"/>
              </w:r>
            </w:p>
          </w:sdtContent>
        </w:sdt>
      </w:tc>
      <w:tc>
        <w:tcPr>
          <w:tcW w:w="4536" w:type="dxa"/>
        </w:tcPr>
        <w:p w:rsidR="00AB7EC4" w:rsidRDefault="00AB7EC4" w:rsidP="009502EA">
          <w:pPr>
            <w:pStyle w:val="KeinLeerraum"/>
            <w:rPr>
              <w:rFonts w:cs="Arial"/>
            </w:rPr>
          </w:pPr>
          <w:r>
            <w:rPr>
              <w:rFonts w:cs="Arial"/>
            </w:rPr>
            <w:t>Besucherkonzept</w:t>
          </w:r>
        </w:p>
        <w:p w:rsidR="00AB7EC4" w:rsidRPr="00BD6588" w:rsidRDefault="00AB7EC4" w:rsidP="009502EA">
          <w:pPr>
            <w:pStyle w:val="KeinLeerraum"/>
            <w:rPr>
              <w:rFonts w:cs="Arial"/>
            </w:rPr>
          </w:pPr>
          <w:r>
            <w:rPr>
              <w:rFonts w:cs="Arial"/>
            </w:rPr>
            <w:t>(Anlage 6b zum Pandemieplan)</w:t>
          </w:r>
        </w:p>
        <w:p w:rsidR="00AB7EC4" w:rsidRPr="00AD5615" w:rsidRDefault="00AB7EC4" w:rsidP="002337B7">
          <w:pPr>
            <w:pStyle w:val="KeinLeerraum"/>
            <w:tabs>
              <w:tab w:val="left" w:pos="3011"/>
            </w:tabs>
            <w:rPr>
              <w:rFonts w:cs="Arial"/>
            </w:rPr>
          </w:pPr>
        </w:p>
      </w:tc>
      <w:tc>
        <w:tcPr>
          <w:tcW w:w="3544" w:type="dxa"/>
        </w:tcPr>
        <w:p w:rsidR="00AB7EC4" w:rsidRDefault="00AB7EC4" w:rsidP="00292911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984415" cy="421893"/>
                <wp:effectExtent l="19050" t="0" r="6185" b="0"/>
                <wp:docPr id="16" name="Bild 1" descr="S:\Pleyn-Seefeldt\Neue Logos\EWW_Wohne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leyn-Seefeldt\Neue Logos\EWW_Wohnen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217" cy="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EC4" w:rsidRDefault="00AB7EC4" w:rsidP="0095224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348" w:type="dxa"/>
      <w:tblInd w:w="-459" w:type="dxa"/>
      <w:tblLook w:val="04A0"/>
    </w:tblPr>
    <w:tblGrid>
      <w:gridCol w:w="2268"/>
      <w:gridCol w:w="4820"/>
      <w:gridCol w:w="3260"/>
    </w:tblGrid>
    <w:tr w:rsidR="00AB7EC4" w:rsidTr="00B76C8B">
      <w:trPr>
        <w:trHeight w:val="590"/>
      </w:trPr>
      <w:tc>
        <w:tcPr>
          <w:tcW w:w="2268" w:type="dxa"/>
        </w:tcPr>
        <w:sdt>
          <w:sdtPr>
            <w:rPr>
              <w:rFonts w:cs="Arial"/>
            </w:rPr>
            <w:id w:val="510592"/>
            <w:docPartObj>
              <w:docPartGallery w:val="Page Numbers (Top of Page)"/>
              <w:docPartUnique/>
            </w:docPartObj>
          </w:sdtPr>
          <w:sdtContent>
            <w:p w:rsidR="00AB7EC4" w:rsidRPr="00AD5615" w:rsidRDefault="00AB7EC4" w:rsidP="0060552B">
              <w:pPr>
                <w:rPr>
                  <w:rFonts w:cs="Arial"/>
                </w:rPr>
              </w:pPr>
              <w:r w:rsidRPr="00EA279C">
                <w:rPr>
                  <w:rFonts w:cs="Arial"/>
                </w:rPr>
                <w:t xml:space="preserve">Version: </w:t>
              </w:r>
              <w:r>
                <w:rPr>
                  <w:rFonts w:cs="Arial"/>
                </w:rPr>
                <w:t>2</w:t>
              </w:r>
            </w:p>
            <w:p w:rsidR="00AB7EC4" w:rsidRPr="00AD5615" w:rsidRDefault="00AB7EC4" w:rsidP="0060552B">
              <w:pPr>
                <w:rPr>
                  <w:rFonts w:cs="Arial"/>
                </w:rPr>
              </w:pPr>
              <w:r w:rsidRPr="00AD5615">
                <w:rPr>
                  <w:rFonts w:cs="Arial"/>
                </w:rPr>
                <w:t xml:space="preserve">Stand: </w:t>
              </w:r>
              <w:r>
                <w:rPr>
                  <w:rFonts w:cs="Arial"/>
                </w:rPr>
                <w:t>25.01.2021</w:t>
              </w:r>
            </w:p>
            <w:p w:rsidR="00AB7EC4" w:rsidRPr="00AD5615" w:rsidRDefault="00AB7EC4" w:rsidP="0060552B">
              <w:pPr>
                <w:rPr>
                  <w:rFonts w:cs="Arial"/>
                </w:rPr>
              </w:pPr>
              <w:r w:rsidRPr="00AD5615">
                <w:rPr>
                  <w:rFonts w:cs="Arial"/>
                </w:rPr>
                <w:t xml:space="preserve">Seite </w:t>
              </w:r>
              <w:r w:rsidR="0038116A" w:rsidRPr="00AD5615">
                <w:rPr>
                  <w:rFonts w:cs="Arial"/>
                </w:rPr>
                <w:fldChar w:fldCharType="begin"/>
              </w:r>
              <w:r w:rsidRPr="00AD5615">
                <w:rPr>
                  <w:rFonts w:cs="Arial"/>
                </w:rPr>
                <w:instrText xml:space="preserve"> PAGE </w:instrText>
              </w:r>
              <w:r w:rsidR="0038116A" w:rsidRPr="00AD5615">
                <w:rPr>
                  <w:rFonts w:cs="Arial"/>
                </w:rPr>
                <w:fldChar w:fldCharType="separate"/>
              </w:r>
              <w:r w:rsidR="00BB7188">
                <w:rPr>
                  <w:rFonts w:cs="Arial"/>
                  <w:noProof/>
                </w:rPr>
                <w:t>1</w:t>
              </w:r>
              <w:r w:rsidR="0038116A" w:rsidRPr="00AD5615">
                <w:rPr>
                  <w:rFonts w:cs="Arial"/>
                </w:rPr>
                <w:fldChar w:fldCharType="end"/>
              </w:r>
              <w:r w:rsidRPr="00AD5615">
                <w:rPr>
                  <w:rFonts w:cs="Arial"/>
                </w:rPr>
                <w:t xml:space="preserve"> von </w:t>
              </w:r>
              <w:r w:rsidR="0038116A" w:rsidRPr="00AD5615">
                <w:rPr>
                  <w:rFonts w:cs="Arial"/>
                </w:rPr>
                <w:fldChar w:fldCharType="begin"/>
              </w:r>
              <w:r w:rsidRPr="00AD5615">
                <w:rPr>
                  <w:rFonts w:cs="Arial"/>
                </w:rPr>
                <w:instrText xml:space="preserve"> NUMPAGES  </w:instrText>
              </w:r>
              <w:r w:rsidR="0038116A" w:rsidRPr="00AD5615">
                <w:rPr>
                  <w:rFonts w:cs="Arial"/>
                </w:rPr>
                <w:fldChar w:fldCharType="separate"/>
              </w:r>
              <w:r w:rsidR="00BB7188">
                <w:rPr>
                  <w:rFonts w:cs="Arial"/>
                  <w:noProof/>
                </w:rPr>
                <w:t>4</w:t>
              </w:r>
              <w:r w:rsidR="0038116A" w:rsidRPr="00AD5615">
                <w:rPr>
                  <w:rFonts w:cs="Arial"/>
                </w:rPr>
                <w:fldChar w:fldCharType="end"/>
              </w:r>
            </w:p>
          </w:sdtContent>
        </w:sdt>
      </w:tc>
      <w:tc>
        <w:tcPr>
          <w:tcW w:w="4820" w:type="dxa"/>
        </w:tcPr>
        <w:p w:rsidR="00AB7EC4" w:rsidRDefault="00AB7EC4" w:rsidP="00BD6588">
          <w:pPr>
            <w:pStyle w:val="KeinLeerraum"/>
            <w:rPr>
              <w:rFonts w:cs="Arial"/>
            </w:rPr>
          </w:pPr>
          <w:r>
            <w:rPr>
              <w:rFonts w:cs="Arial"/>
            </w:rPr>
            <w:t>Besucherkonzept</w:t>
          </w:r>
        </w:p>
        <w:p w:rsidR="00AB7EC4" w:rsidRPr="00BD6588" w:rsidRDefault="00AB7EC4" w:rsidP="00BD6588">
          <w:pPr>
            <w:pStyle w:val="KeinLeerraum"/>
            <w:rPr>
              <w:rFonts w:cs="Arial"/>
            </w:rPr>
          </w:pPr>
          <w:r>
            <w:rPr>
              <w:rFonts w:cs="Arial"/>
            </w:rPr>
            <w:t>(Anlage 6b zum Pandemieplan)</w:t>
          </w:r>
        </w:p>
        <w:p w:rsidR="00AB7EC4" w:rsidRPr="00AD5615" w:rsidRDefault="00AB7EC4" w:rsidP="00F85522">
          <w:pPr>
            <w:pStyle w:val="Kopfzeile"/>
            <w:rPr>
              <w:rFonts w:cs="Arial"/>
            </w:rPr>
          </w:pPr>
        </w:p>
      </w:tc>
      <w:tc>
        <w:tcPr>
          <w:tcW w:w="3260" w:type="dxa"/>
        </w:tcPr>
        <w:p w:rsidR="00AB7EC4" w:rsidRDefault="00AB7EC4" w:rsidP="000D0AFB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972540" cy="416803"/>
                <wp:effectExtent l="19050" t="0" r="0" b="0"/>
                <wp:docPr id="1" name="Bild 1" descr="S:\Pleyn-Seefeldt\Neue Logos\EWW_Wohne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leyn-Seefeldt\Neue Logos\EWW_Wohnen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357" cy="416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EC4" w:rsidRDefault="00AB7EC4" w:rsidP="00153CDC">
    <w:pPr>
      <w:pStyle w:val="Kopfzeile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543"/>
    <w:multiLevelType w:val="hybridMultilevel"/>
    <w:tmpl w:val="A23EA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9E4"/>
    <w:multiLevelType w:val="hybridMultilevel"/>
    <w:tmpl w:val="7876E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1FE"/>
    <w:multiLevelType w:val="multilevel"/>
    <w:tmpl w:val="63509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3F443E"/>
    <w:multiLevelType w:val="hybridMultilevel"/>
    <w:tmpl w:val="77FC9F8E"/>
    <w:lvl w:ilvl="0" w:tplc="ED9656DE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AD4"/>
    <w:multiLevelType w:val="hybridMultilevel"/>
    <w:tmpl w:val="20F0EFBA"/>
    <w:lvl w:ilvl="0" w:tplc="ED9656DE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776"/>
    <w:multiLevelType w:val="hybridMultilevel"/>
    <w:tmpl w:val="86ACDD9E"/>
    <w:lvl w:ilvl="0" w:tplc="ED9656DE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531CA"/>
    <w:multiLevelType w:val="hybridMultilevel"/>
    <w:tmpl w:val="7BEC757C"/>
    <w:lvl w:ilvl="0" w:tplc="ED9656DE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D6035"/>
    <w:multiLevelType w:val="hybridMultilevel"/>
    <w:tmpl w:val="DBEA3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86F13"/>
    <w:multiLevelType w:val="hybridMultilevel"/>
    <w:tmpl w:val="219E0468"/>
    <w:lvl w:ilvl="0" w:tplc="ED9656DE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740F"/>
    <w:multiLevelType w:val="hybridMultilevel"/>
    <w:tmpl w:val="8AD81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807AB"/>
    <w:multiLevelType w:val="hybridMultilevel"/>
    <w:tmpl w:val="B37C3408"/>
    <w:lvl w:ilvl="0" w:tplc="ED9656DE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01375"/>
    <w:multiLevelType w:val="hybridMultilevel"/>
    <w:tmpl w:val="2AC2A99E"/>
    <w:lvl w:ilvl="0" w:tplc="0D04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0772AD"/>
    <w:rsid w:val="00024B28"/>
    <w:rsid w:val="00045734"/>
    <w:rsid w:val="0005148F"/>
    <w:rsid w:val="000701BC"/>
    <w:rsid w:val="00075C47"/>
    <w:rsid w:val="00076F88"/>
    <w:rsid w:val="000772AD"/>
    <w:rsid w:val="00097617"/>
    <w:rsid w:val="000B5A78"/>
    <w:rsid w:val="000C6034"/>
    <w:rsid w:val="000D0AFB"/>
    <w:rsid w:val="000D36A7"/>
    <w:rsid w:val="001042D5"/>
    <w:rsid w:val="00111C59"/>
    <w:rsid w:val="0012035E"/>
    <w:rsid w:val="00141DEC"/>
    <w:rsid w:val="00142CD4"/>
    <w:rsid w:val="00152765"/>
    <w:rsid w:val="00153CDC"/>
    <w:rsid w:val="00154DE9"/>
    <w:rsid w:val="00156681"/>
    <w:rsid w:val="0015689E"/>
    <w:rsid w:val="001B3534"/>
    <w:rsid w:val="001C07CA"/>
    <w:rsid w:val="001D1E88"/>
    <w:rsid w:val="001D26DC"/>
    <w:rsid w:val="001E0F93"/>
    <w:rsid w:val="001E1224"/>
    <w:rsid w:val="00202CC6"/>
    <w:rsid w:val="00215C35"/>
    <w:rsid w:val="002337B7"/>
    <w:rsid w:val="00240C7F"/>
    <w:rsid w:val="00242FB4"/>
    <w:rsid w:val="00256D31"/>
    <w:rsid w:val="00273ED7"/>
    <w:rsid w:val="00292911"/>
    <w:rsid w:val="002A7CD4"/>
    <w:rsid w:val="002C18BA"/>
    <w:rsid w:val="002C408A"/>
    <w:rsid w:val="002D7B93"/>
    <w:rsid w:val="002F25FA"/>
    <w:rsid w:val="002F782C"/>
    <w:rsid w:val="003152AD"/>
    <w:rsid w:val="0034043D"/>
    <w:rsid w:val="00343294"/>
    <w:rsid w:val="003726B4"/>
    <w:rsid w:val="0038116A"/>
    <w:rsid w:val="00386B04"/>
    <w:rsid w:val="003A4D2D"/>
    <w:rsid w:val="003B1E4A"/>
    <w:rsid w:val="003D1341"/>
    <w:rsid w:val="003D7D94"/>
    <w:rsid w:val="003E302F"/>
    <w:rsid w:val="003F70B6"/>
    <w:rsid w:val="00405557"/>
    <w:rsid w:val="00410E76"/>
    <w:rsid w:val="00433513"/>
    <w:rsid w:val="00461E6C"/>
    <w:rsid w:val="0047099E"/>
    <w:rsid w:val="00472D48"/>
    <w:rsid w:val="004836C6"/>
    <w:rsid w:val="00487421"/>
    <w:rsid w:val="00492692"/>
    <w:rsid w:val="004C19EC"/>
    <w:rsid w:val="004C7A68"/>
    <w:rsid w:val="004C7D58"/>
    <w:rsid w:val="00505B81"/>
    <w:rsid w:val="005300C0"/>
    <w:rsid w:val="0053237B"/>
    <w:rsid w:val="00566F40"/>
    <w:rsid w:val="005C0317"/>
    <w:rsid w:val="005C194D"/>
    <w:rsid w:val="005D7E40"/>
    <w:rsid w:val="0060552B"/>
    <w:rsid w:val="00625E83"/>
    <w:rsid w:val="00635C74"/>
    <w:rsid w:val="00647ECE"/>
    <w:rsid w:val="00661DEF"/>
    <w:rsid w:val="00667BF7"/>
    <w:rsid w:val="006827FA"/>
    <w:rsid w:val="006B6FFA"/>
    <w:rsid w:val="006D2A70"/>
    <w:rsid w:val="006F0460"/>
    <w:rsid w:val="006F1910"/>
    <w:rsid w:val="007026F0"/>
    <w:rsid w:val="00736FD7"/>
    <w:rsid w:val="00752DA2"/>
    <w:rsid w:val="00794359"/>
    <w:rsid w:val="007A24F5"/>
    <w:rsid w:val="007B7101"/>
    <w:rsid w:val="007C2973"/>
    <w:rsid w:val="007C67EA"/>
    <w:rsid w:val="007F09AD"/>
    <w:rsid w:val="007F1765"/>
    <w:rsid w:val="007F640F"/>
    <w:rsid w:val="0080532F"/>
    <w:rsid w:val="008170AC"/>
    <w:rsid w:val="00836BB1"/>
    <w:rsid w:val="008374D9"/>
    <w:rsid w:val="00854E33"/>
    <w:rsid w:val="008916EC"/>
    <w:rsid w:val="00892F1C"/>
    <w:rsid w:val="008A10B9"/>
    <w:rsid w:val="008A26D4"/>
    <w:rsid w:val="008A6658"/>
    <w:rsid w:val="008C4DA9"/>
    <w:rsid w:val="008D1B63"/>
    <w:rsid w:val="008E44B0"/>
    <w:rsid w:val="00902E69"/>
    <w:rsid w:val="009121BC"/>
    <w:rsid w:val="00916F6D"/>
    <w:rsid w:val="00940C4F"/>
    <w:rsid w:val="00944105"/>
    <w:rsid w:val="0094550E"/>
    <w:rsid w:val="009502EA"/>
    <w:rsid w:val="00952249"/>
    <w:rsid w:val="00980413"/>
    <w:rsid w:val="00992987"/>
    <w:rsid w:val="009B07B2"/>
    <w:rsid w:val="009B5A47"/>
    <w:rsid w:val="009C02C2"/>
    <w:rsid w:val="009E3667"/>
    <w:rsid w:val="00A26854"/>
    <w:rsid w:val="00A50AE1"/>
    <w:rsid w:val="00A5777C"/>
    <w:rsid w:val="00A60AAD"/>
    <w:rsid w:val="00A67E65"/>
    <w:rsid w:val="00A7745B"/>
    <w:rsid w:val="00A8162A"/>
    <w:rsid w:val="00A840E8"/>
    <w:rsid w:val="00A918DB"/>
    <w:rsid w:val="00AA1647"/>
    <w:rsid w:val="00AB7EC4"/>
    <w:rsid w:val="00AD5615"/>
    <w:rsid w:val="00AF6330"/>
    <w:rsid w:val="00B0315C"/>
    <w:rsid w:val="00B04EBA"/>
    <w:rsid w:val="00B0543E"/>
    <w:rsid w:val="00B11027"/>
    <w:rsid w:val="00B37247"/>
    <w:rsid w:val="00B45144"/>
    <w:rsid w:val="00B5729B"/>
    <w:rsid w:val="00B6586C"/>
    <w:rsid w:val="00B76C8B"/>
    <w:rsid w:val="00B8711F"/>
    <w:rsid w:val="00BB3623"/>
    <w:rsid w:val="00BB7188"/>
    <w:rsid w:val="00BC4A57"/>
    <w:rsid w:val="00BD6588"/>
    <w:rsid w:val="00C00092"/>
    <w:rsid w:val="00C003EE"/>
    <w:rsid w:val="00C00EBF"/>
    <w:rsid w:val="00C1211F"/>
    <w:rsid w:val="00C2001F"/>
    <w:rsid w:val="00C34510"/>
    <w:rsid w:val="00C4186E"/>
    <w:rsid w:val="00CC456A"/>
    <w:rsid w:val="00CD2F77"/>
    <w:rsid w:val="00CE1D1F"/>
    <w:rsid w:val="00D320BF"/>
    <w:rsid w:val="00D43BC6"/>
    <w:rsid w:val="00D4649E"/>
    <w:rsid w:val="00D87A47"/>
    <w:rsid w:val="00D956FD"/>
    <w:rsid w:val="00DA27FA"/>
    <w:rsid w:val="00DF14D1"/>
    <w:rsid w:val="00DF6769"/>
    <w:rsid w:val="00E05495"/>
    <w:rsid w:val="00E41D3F"/>
    <w:rsid w:val="00E4534C"/>
    <w:rsid w:val="00E45AA3"/>
    <w:rsid w:val="00E474B6"/>
    <w:rsid w:val="00E5045C"/>
    <w:rsid w:val="00E761E8"/>
    <w:rsid w:val="00EA279C"/>
    <w:rsid w:val="00EA6ED9"/>
    <w:rsid w:val="00EC1CF9"/>
    <w:rsid w:val="00EE4410"/>
    <w:rsid w:val="00EE6C81"/>
    <w:rsid w:val="00EF1049"/>
    <w:rsid w:val="00F2338C"/>
    <w:rsid w:val="00F37FCA"/>
    <w:rsid w:val="00F54877"/>
    <w:rsid w:val="00F85522"/>
    <w:rsid w:val="00FB0D40"/>
    <w:rsid w:val="00FB777B"/>
    <w:rsid w:val="00FD42E2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A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2AD"/>
  </w:style>
  <w:style w:type="paragraph" w:styleId="Fuzeile">
    <w:name w:val="footer"/>
    <w:basedOn w:val="Standard"/>
    <w:link w:val="FuzeileZchn"/>
    <w:uiPriority w:val="99"/>
    <w:unhideWhenUsed/>
    <w:rsid w:val="00077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2AD"/>
  </w:style>
  <w:style w:type="table" w:styleId="Tabellengitternetz">
    <w:name w:val="Table Grid"/>
    <w:basedOn w:val="NormaleTabelle"/>
    <w:uiPriority w:val="39"/>
    <w:rsid w:val="0007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2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2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2AD"/>
    <w:pPr>
      <w:ind w:left="720"/>
      <w:contextualSpacing/>
    </w:pPr>
  </w:style>
  <w:style w:type="paragraph" w:styleId="KeinLeerraum">
    <w:name w:val="No Spacing"/>
    <w:uiPriority w:val="1"/>
    <w:qFormat/>
    <w:rsid w:val="00BD6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FE0A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D2D5-E4FE-4424-A434-F9469A57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Seefedt-NB</dc:creator>
  <cp:lastModifiedBy>Hanke</cp:lastModifiedBy>
  <cp:revision>3</cp:revision>
  <cp:lastPrinted>2020-08-12T07:13:00Z</cp:lastPrinted>
  <dcterms:created xsi:type="dcterms:W3CDTF">2021-01-26T14:51:00Z</dcterms:created>
  <dcterms:modified xsi:type="dcterms:W3CDTF">2021-01-26T14:51:00Z</dcterms:modified>
</cp:coreProperties>
</file>